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7118" w14:textId="77777777" w:rsidR="007551E5" w:rsidRDefault="007551E5">
      <w:pPr>
        <w:widowControl w:val="0"/>
        <w:autoSpaceDE w:val="0"/>
        <w:autoSpaceDN w:val="0"/>
        <w:adjustRightInd w:val="0"/>
        <w:spacing w:after="0" w:line="240" w:lineRule="auto"/>
        <w:jc w:val="center"/>
        <w:rPr>
          <w:rFonts w:ascii="Arial" w:hAnsi="Arial" w:cs="Arial"/>
          <w:b/>
          <w:bCs/>
          <w:sz w:val="20"/>
          <w:szCs w:val="20"/>
        </w:rPr>
      </w:pPr>
    </w:p>
    <w:p w14:paraId="23536F00" w14:textId="62CED06B" w:rsidR="00CE0D4C" w:rsidRPr="00410D1E" w:rsidRDefault="008B5C3D" w:rsidP="00CE0D4C">
      <w:pPr>
        <w:jc w:val="right"/>
      </w:pPr>
      <w:r>
        <w:t>2</w:t>
      </w:r>
      <w:r w:rsidR="00FA1172">
        <w:t>6</w:t>
      </w:r>
      <w:r w:rsidR="00CE0D4C">
        <w:t>/</w:t>
      </w:r>
      <w:r w:rsidR="004E68AA">
        <w:t>0</w:t>
      </w:r>
      <w:r w:rsidR="00FA1172">
        <w:t>6</w:t>
      </w:r>
      <w:r w:rsidR="00CE0D4C">
        <w:t>/20</w:t>
      </w:r>
      <w:r w:rsidR="004E68AA">
        <w:t>2</w:t>
      </w:r>
      <w:r w:rsidR="00FA1172">
        <w:t>3</w:t>
      </w:r>
    </w:p>
    <w:p w14:paraId="52D61F34" w14:textId="5AEC8061" w:rsidR="00CE0D4C" w:rsidRPr="00CE0D4C" w:rsidRDefault="00CE0D4C" w:rsidP="00CE0D4C">
      <w:pPr>
        <w:pStyle w:val="Ttulo1"/>
      </w:pPr>
      <w:r w:rsidRPr="00CE0D4C">
        <w:t xml:space="preserve">Subject │ Minutes of the </w:t>
      </w:r>
      <w:r w:rsidR="008B5C3D" w:rsidRPr="008B5C3D">
        <w:t>Joint WG 3-4 meeting</w:t>
      </w:r>
      <w:r w:rsidR="008B5C3D">
        <w:t xml:space="preserve"> </w:t>
      </w:r>
      <w:r w:rsidR="000338D2">
        <w:t xml:space="preserve">of </w:t>
      </w:r>
      <w:r w:rsidRPr="00CE0D4C">
        <w:t>COST Action CA18221: “</w:t>
      </w:r>
      <w:proofErr w:type="spellStart"/>
      <w:r w:rsidRPr="00CE0D4C">
        <w:t>PEsticide</w:t>
      </w:r>
      <w:proofErr w:type="spellEnd"/>
      <w:r w:rsidRPr="00CE0D4C">
        <w:t xml:space="preserve"> </w:t>
      </w:r>
      <w:proofErr w:type="spellStart"/>
      <w:r w:rsidRPr="00CE0D4C">
        <w:t>RIsk</w:t>
      </w:r>
      <w:proofErr w:type="spellEnd"/>
      <w:r w:rsidRPr="00CE0D4C">
        <w:t xml:space="preserve"> </w:t>
      </w:r>
      <w:proofErr w:type="spellStart"/>
      <w:r w:rsidRPr="00CE0D4C">
        <w:t>AssessMent</w:t>
      </w:r>
      <w:proofErr w:type="spellEnd"/>
      <w:r w:rsidRPr="00CE0D4C">
        <w:t xml:space="preserve"> for Amphibians and Reptiles” </w:t>
      </w:r>
    </w:p>
    <w:p w14:paraId="7B77DD50" w14:textId="77777777" w:rsidR="00CE0D4C" w:rsidRPr="00145157" w:rsidRDefault="00CE0D4C" w:rsidP="00CE0D4C">
      <w:pPr>
        <w:rPr>
          <w:lang w:val="en-GB"/>
        </w:rPr>
      </w:pPr>
    </w:p>
    <w:p w14:paraId="40723495" w14:textId="1CDFE33E" w:rsidR="00CF6C48" w:rsidRPr="00CF6C48" w:rsidRDefault="00CF6C48" w:rsidP="00CF6C48">
      <w:pPr>
        <w:pStyle w:val="Numberedlist"/>
        <w:numPr>
          <w:ilvl w:val="0"/>
          <w:numId w:val="10"/>
        </w:numPr>
        <w:rPr>
          <w:b/>
          <w:color w:val="auto"/>
        </w:rPr>
      </w:pPr>
      <w:r w:rsidRPr="00CF6C48">
        <w:rPr>
          <w:b/>
          <w:color w:val="auto"/>
        </w:rPr>
        <w:t xml:space="preserve">Welcome to </w:t>
      </w:r>
      <w:proofErr w:type="gramStart"/>
      <w:r w:rsidRPr="00CF6C48">
        <w:rPr>
          <w:b/>
          <w:color w:val="auto"/>
        </w:rPr>
        <w:t>participants</w:t>
      </w:r>
      <w:proofErr w:type="gramEnd"/>
    </w:p>
    <w:p w14:paraId="78580EF8" w14:textId="73C2C534" w:rsidR="00CF6C48" w:rsidRDefault="00CF6C48" w:rsidP="00CF6C48">
      <w:pPr>
        <w:spacing w:after="120" w:line="260" w:lineRule="atLeast"/>
        <w:jc w:val="both"/>
        <w:rPr>
          <w:rFonts w:ascii="Arial" w:eastAsiaTheme="minorHAnsi" w:hAnsi="Arial" w:cstheme="minorBidi"/>
          <w:sz w:val="20"/>
          <w:szCs w:val="24"/>
          <w:lang w:val="en-GB" w:eastAsia="en-US"/>
        </w:rPr>
      </w:pPr>
      <w:r w:rsidRPr="00CF6C48">
        <w:rPr>
          <w:rFonts w:ascii="Arial" w:eastAsiaTheme="minorHAnsi" w:hAnsi="Arial" w:cstheme="minorBidi"/>
          <w:sz w:val="20"/>
          <w:szCs w:val="24"/>
          <w:lang w:val="en-GB" w:eastAsia="en-US"/>
        </w:rPr>
        <w:t>The participants</w:t>
      </w:r>
      <w:r>
        <w:rPr>
          <w:rFonts w:ascii="Arial" w:eastAsiaTheme="minorHAnsi" w:hAnsi="Arial" w:cstheme="minorBidi"/>
          <w:sz w:val="20"/>
          <w:szCs w:val="24"/>
          <w:lang w:val="en-GB" w:eastAsia="en-US"/>
        </w:rPr>
        <w:t xml:space="preserve"> </w:t>
      </w:r>
      <w:r w:rsidRPr="00CF6C48">
        <w:rPr>
          <w:rFonts w:ascii="Arial" w:eastAsiaTheme="minorHAnsi" w:hAnsi="Arial" w:cstheme="minorBidi"/>
          <w:sz w:val="20"/>
          <w:szCs w:val="24"/>
          <w:lang w:val="en-GB" w:eastAsia="en-US"/>
        </w:rPr>
        <w:t>(</w:t>
      </w:r>
      <w:r w:rsidRPr="00CF6C48">
        <w:rPr>
          <w:rFonts w:ascii="Arial" w:eastAsiaTheme="minorHAnsi" w:hAnsi="Arial" w:cstheme="minorBidi"/>
          <w:b/>
          <w:sz w:val="20"/>
          <w:szCs w:val="24"/>
          <w:lang w:val="en-GB" w:eastAsia="en-US"/>
        </w:rPr>
        <w:t>Annex 1</w:t>
      </w:r>
      <w:r w:rsidRPr="00CF6C48">
        <w:rPr>
          <w:rFonts w:ascii="Arial" w:eastAsiaTheme="minorHAnsi" w:hAnsi="Arial" w:cstheme="minorBidi"/>
          <w:sz w:val="20"/>
          <w:szCs w:val="24"/>
          <w:lang w:val="en-GB" w:eastAsia="en-US"/>
        </w:rPr>
        <w:t xml:space="preserve">) were welcomed by </w:t>
      </w:r>
      <w:r w:rsidR="00EA32FB">
        <w:rPr>
          <w:rFonts w:ascii="Arial" w:eastAsiaTheme="minorHAnsi" w:hAnsi="Arial" w:cstheme="minorBidi"/>
          <w:sz w:val="20"/>
          <w:szCs w:val="24"/>
          <w:lang w:val="en-GB" w:eastAsia="en-US"/>
        </w:rPr>
        <w:t xml:space="preserve">the Local Organiser, </w:t>
      </w:r>
      <w:r w:rsidR="008B5C3D">
        <w:rPr>
          <w:rFonts w:ascii="Arial" w:eastAsiaTheme="minorHAnsi" w:hAnsi="Arial" w:cstheme="minorBidi"/>
          <w:sz w:val="20"/>
          <w:szCs w:val="24"/>
          <w:lang w:val="en-GB" w:eastAsia="en-US"/>
        </w:rPr>
        <w:t>Olga-Jovan</w:t>
      </w:r>
      <w:r w:rsidR="0003790E">
        <w:rPr>
          <w:rFonts w:ascii="Arial" w:eastAsiaTheme="minorHAnsi" w:hAnsi="Arial" w:cstheme="minorBidi"/>
          <w:sz w:val="20"/>
          <w:szCs w:val="24"/>
          <w:lang w:val="en-GB" w:eastAsia="en-US"/>
        </w:rPr>
        <w:t>ov</w:t>
      </w:r>
      <w:r w:rsidR="008B5C3D">
        <w:rPr>
          <w:rFonts w:ascii="Arial" w:eastAsiaTheme="minorHAnsi" w:hAnsi="Arial" w:cstheme="minorBidi"/>
          <w:sz w:val="20"/>
          <w:szCs w:val="24"/>
          <w:lang w:val="en-GB" w:eastAsia="en-US"/>
        </w:rPr>
        <w:t>ic Glavas</w:t>
      </w:r>
      <w:r w:rsidR="0003790E">
        <w:rPr>
          <w:rFonts w:ascii="Arial" w:eastAsiaTheme="minorHAnsi" w:hAnsi="Arial" w:cstheme="minorBidi"/>
          <w:sz w:val="20"/>
          <w:szCs w:val="24"/>
          <w:lang w:val="en-GB" w:eastAsia="en-US"/>
        </w:rPr>
        <w:t>, the WG 3 co-leader, Valentin Mingo, and the WG4 leader, Silvia Pieper</w:t>
      </w:r>
      <w:r w:rsidR="00EF5AE6">
        <w:rPr>
          <w:rFonts w:ascii="Arial" w:eastAsiaTheme="minorHAnsi" w:hAnsi="Arial" w:cstheme="minorBidi"/>
          <w:sz w:val="20"/>
          <w:szCs w:val="24"/>
          <w:lang w:val="en-GB" w:eastAsia="en-US"/>
        </w:rPr>
        <w:t>.</w:t>
      </w:r>
    </w:p>
    <w:p w14:paraId="65432DF0" w14:textId="77777777" w:rsidR="002A7BE0" w:rsidRPr="00CF6C48" w:rsidRDefault="002A7BE0" w:rsidP="00CF6C48">
      <w:pPr>
        <w:spacing w:after="120" w:line="260" w:lineRule="atLeast"/>
        <w:jc w:val="both"/>
        <w:rPr>
          <w:rFonts w:ascii="Arial" w:eastAsiaTheme="minorHAnsi" w:hAnsi="Arial" w:cstheme="minorBidi"/>
          <w:sz w:val="20"/>
          <w:szCs w:val="24"/>
          <w:lang w:val="en-GB" w:eastAsia="en-US"/>
        </w:rPr>
      </w:pPr>
    </w:p>
    <w:p w14:paraId="5D46351D" w14:textId="524EF90C" w:rsidR="00CF6C48" w:rsidRDefault="0003790E" w:rsidP="00CF6C48">
      <w:pPr>
        <w:pStyle w:val="Numberedlist"/>
        <w:numPr>
          <w:ilvl w:val="0"/>
          <w:numId w:val="10"/>
        </w:numPr>
        <w:rPr>
          <w:b/>
          <w:color w:val="auto"/>
        </w:rPr>
      </w:pPr>
      <w:r>
        <w:rPr>
          <w:b/>
          <w:color w:val="auto"/>
        </w:rPr>
        <w:t>Presentation of the meeting objectives</w:t>
      </w:r>
    </w:p>
    <w:p w14:paraId="69708D13" w14:textId="6D292BEA" w:rsidR="00CF6C48" w:rsidRDefault="00CF6C48" w:rsidP="00CF6C48">
      <w:pPr>
        <w:spacing w:after="120" w:line="260" w:lineRule="atLeast"/>
        <w:jc w:val="both"/>
        <w:rPr>
          <w:rFonts w:ascii="Arial" w:eastAsiaTheme="minorHAnsi" w:hAnsi="Arial" w:cstheme="minorBidi"/>
          <w:sz w:val="20"/>
          <w:szCs w:val="24"/>
          <w:lang w:val="en-GB" w:eastAsia="en-US"/>
        </w:rPr>
      </w:pPr>
      <w:r w:rsidRPr="00CF6C48">
        <w:rPr>
          <w:rFonts w:ascii="Arial" w:eastAsiaTheme="minorHAnsi" w:hAnsi="Arial" w:cstheme="minorBidi"/>
          <w:sz w:val="20"/>
          <w:szCs w:val="24"/>
          <w:lang w:val="en-GB" w:eastAsia="en-US"/>
        </w:rPr>
        <w:t xml:space="preserve">The </w:t>
      </w:r>
      <w:r w:rsidR="00AD47BF">
        <w:rPr>
          <w:rFonts w:ascii="Arial" w:eastAsiaTheme="minorHAnsi" w:hAnsi="Arial" w:cstheme="minorBidi"/>
          <w:sz w:val="20"/>
          <w:szCs w:val="24"/>
          <w:lang w:val="en-GB" w:eastAsia="en-US"/>
        </w:rPr>
        <w:t xml:space="preserve">Action chair, Manuel Ortiz, </w:t>
      </w:r>
      <w:r w:rsidR="002C04E0">
        <w:rPr>
          <w:rFonts w:ascii="Arial" w:eastAsiaTheme="minorHAnsi" w:hAnsi="Arial" w:cstheme="minorBidi"/>
          <w:sz w:val="20"/>
          <w:szCs w:val="24"/>
          <w:lang w:val="en-GB" w:eastAsia="en-US"/>
        </w:rPr>
        <w:t>re</w:t>
      </w:r>
      <w:r w:rsidR="00E6434D">
        <w:rPr>
          <w:rFonts w:ascii="Arial" w:eastAsiaTheme="minorHAnsi" w:hAnsi="Arial" w:cstheme="minorBidi"/>
          <w:sz w:val="20"/>
          <w:szCs w:val="24"/>
          <w:lang w:val="en-GB" w:eastAsia="en-US"/>
        </w:rPr>
        <w:t>viewed</w:t>
      </w:r>
      <w:r w:rsidR="00AD47BF">
        <w:rPr>
          <w:rFonts w:ascii="Arial" w:eastAsiaTheme="minorHAnsi" w:hAnsi="Arial" w:cstheme="minorBidi"/>
          <w:sz w:val="20"/>
          <w:szCs w:val="24"/>
          <w:lang w:val="en-GB" w:eastAsia="en-US"/>
        </w:rPr>
        <w:t xml:space="preserve"> the objectives of the COST Action CA18221</w:t>
      </w:r>
      <w:r w:rsidR="002C04E0">
        <w:rPr>
          <w:rFonts w:ascii="Arial" w:eastAsiaTheme="minorHAnsi" w:hAnsi="Arial" w:cstheme="minorBidi"/>
          <w:sz w:val="20"/>
          <w:szCs w:val="24"/>
          <w:lang w:val="en-GB" w:eastAsia="en-US"/>
        </w:rPr>
        <w:t xml:space="preserve"> to frame the objectives of this joint meeting within the tasks of Working Groups 3 and 4. In particular, the meeting should serve to review information </w:t>
      </w:r>
      <w:r w:rsidR="00211702">
        <w:rPr>
          <w:rFonts w:ascii="Arial" w:eastAsiaTheme="minorHAnsi" w:hAnsi="Arial" w:cstheme="minorBidi"/>
          <w:sz w:val="20"/>
          <w:szCs w:val="24"/>
          <w:lang w:val="en-GB" w:eastAsia="en-US"/>
        </w:rPr>
        <w:t xml:space="preserve">addressing the choice of indicator and focal species and information on toxicological sensitivity of amphibians and reptiles to pesticides to </w:t>
      </w:r>
      <w:r w:rsidR="00E6434D">
        <w:rPr>
          <w:rFonts w:ascii="Arial" w:eastAsiaTheme="minorHAnsi" w:hAnsi="Arial" w:cstheme="minorBidi"/>
          <w:sz w:val="20"/>
          <w:szCs w:val="24"/>
          <w:lang w:val="en-GB" w:eastAsia="en-US"/>
        </w:rPr>
        <w:t>progress in the determination of extrapolation and assessment factors.</w:t>
      </w:r>
    </w:p>
    <w:p w14:paraId="1DE0EF31" w14:textId="77777777" w:rsidR="002A7BE0" w:rsidRPr="00CF6C48" w:rsidRDefault="002A7BE0" w:rsidP="00CF6C48">
      <w:pPr>
        <w:spacing w:after="120" w:line="260" w:lineRule="atLeast"/>
        <w:jc w:val="both"/>
        <w:rPr>
          <w:rFonts w:ascii="Arial" w:eastAsiaTheme="minorHAnsi" w:hAnsi="Arial" w:cstheme="minorBidi"/>
          <w:sz w:val="20"/>
          <w:szCs w:val="24"/>
          <w:lang w:val="en-GB" w:eastAsia="en-US"/>
        </w:rPr>
      </w:pPr>
    </w:p>
    <w:p w14:paraId="5944E3BF" w14:textId="155B8695" w:rsidR="00CF6C48" w:rsidRDefault="003E5AA0" w:rsidP="00FB5060">
      <w:pPr>
        <w:pStyle w:val="Prrafodelista"/>
        <w:numPr>
          <w:ilvl w:val="0"/>
          <w:numId w:val="10"/>
        </w:numPr>
        <w:jc w:val="both"/>
        <w:rPr>
          <w:rFonts w:ascii="Arial" w:eastAsiaTheme="minorHAnsi" w:hAnsi="Arial" w:cstheme="minorBidi"/>
          <w:b/>
          <w:sz w:val="20"/>
          <w:szCs w:val="24"/>
          <w:lang w:val="en-GB" w:eastAsia="en-US"/>
        </w:rPr>
      </w:pPr>
      <w:r w:rsidRPr="003E5AA0">
        <w:rPr>
          <w:rFonts w:ascii="Arial" w:eastAsiaTheme="minorHAnsi" w:hAnsi="Arial" w:cstheme="minorBidi"/>
          <w:b/>
          <w:sz w:val="20"/>
          <w:szCs w:val="24"/>
          <w:lang w:val="en-GB" w:eastAsia="en-US"/>
        </w:rPr>
        <w:t>Presentation of life history trait data</w:t>
      </w:r>
    </w:p>
    <w:p w14:paraId="2E4D71F7" w14:textId="77777777" w:rsidR="0011547F" w:rsidRDefault="00AE3ADF" w:rsidP="001A215A">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life history trait database progress was presented. The first step was the analysis of amphibian and reptilian species distribution in agricultural areas in Europe, which served to select those taxa </w:t>
      </w:r>
      <w:r w:rsidR="008108AA">
        <w:rPr>
          <w:rFonts w:ascii="Arial" w:eastAsiaTheme="minorHAnsi" w:hAnsi="Arial" w:cstheme="minorBidi"/>
          <w:sz w:val="20"/>
          <w:szCs w:val="24"/>
          <w:lang w:val="en-GB" w:eastAsia="en-US"/>
        </w:rPr>
        <w:t xml:space="preserve">more relevant as species of concern. Several STSMs had been conducted to compile life history </w:t>
      </w:r>
      <w:r w:rsidR="00CC1CE1">
        <w:rPr>
          <w:rFonts w:ascii="Arial" w:eastAsiaTheme="minorHAnsi" w:hAnsi="Arial" w:cstheme="minorBidi"/>
          <w:sz w:val="20"/>
          <w:szCs w:val="24"/>
          <w:lang w:val="en-GB" w:eastAsia="en-US"/>
        </w:rPr>
        <w:t xml:space="preserve">traits </w:t>
      </w:r>
      <w:r w:rsidR="0011547F">
        <w:rPr>
          <w:rFonts w:ascii="Arial" w:eastAsiaTheme="minorHAnsi" w:hAnsi="Arial" w:cstheme="minorBidi"/>
          <w:sz w:val="20"/>
          <w:szCs w:val="24"/>
          <w:lang w:val="en-GB" w:eastAsia="en-US"/>
        </w:rPr>
        <w:t>of relevant species of amphibians and lizards. Ana Marques, ho</w:t>
      </w:r>
      <w:r w:rsidR="003E5AA0">
        <w:rPr>
          <w:rFonts w:ascii="Arial" w:eastAsiaTheme="minorHAnsi" w:hAnsi="Arial" w:cstheme="minorBidi"/>
          <w:sz w:val="20"/>
          <w:szCs w:val="24"/>
          <w:lang w:val="en-GB" w:eastAsia="en-US"/>
        </w:rPr>
        <w:t xml:space="preserve">lder of </w:t>
      </w:r>
      <w:r w:rsidR="0011547F">
        <w:rPr>
          <w:rFonts w:ascii="Arial" w:eastAsiaTheme="minorHAnsi" w:hAnsi="Arial" w:cstheme="minorBidi"/>
          <w:sz w:val="20"/>
          <w:szCs w:val="24"/>
          <w:lang w:val="en-GB" w:eastAsia="en-US"/>
        </w:rPr>
        <w:t xml:space="preserve">an </w:t>
      </w:r>
      <w:r w:rsidR="003E5AA0">
        <w:rPr>
          <w:rFonts w:ascii="Arial" w:eastAsiaTheme="minorHAnsi" w:hAnsi="Arial" w:cstheme="minorBidi"/>
          <w:sz w:val="20"/>
          <w:szCs w:val="24"/>
          <w:lang w:val="en-GB" w:eastAsia="en-US"/>
        </w:rPr>
        <w:t>STSM conducted during this Grant Period to complete the life history trait database</w:t>
      </w:r>
      <w:r w:rsidR="0011547F">
        <w:rPr>
          <w:rFonts w:ascii="Arial" w:eastAsiaTheme="minorHAnsi" w:hAnsi="Arial" w:cstheme="minorBidi"/>
          <w:sz w:val="20"/>
          <w:szCs w:val="24"/>
          <w:lang w:val="en-GB" w:eastAsia="en-US"/>
        </w:rPr>
        <w:t xml:space="preserve"> with snake and turtle data, presented her results. </w:t>
      </w:r>
    </w:p>
    <w:p w14:paraId="39993117" w14:textId="77777777" w:rsidR="0011547F" w:rsidRDefault="0011547F" w:rsidP="001A215A">
      <w:pPr>
        <w:spacing w:after="120" w:line="260" w:lineRule="atLeast"/>
        <w:jc w:val="both"/>
        <w:rPr>
          <w:rFonts w:ascii="Arial" w:eastAsiaTheme="minorHAnsi" w:hAnsi="Arial" w:cstheme="minorBidi"/>
          <w:sz w:val="20"/>
          <w:szCs w:val="24"/>
          <w:lang w:val="en-GB" w:eastAsia="en-US"/>
        </w:rPr>
      </w:pPr>
    </w:p>
    <w:p w14:paraId="2359FCC5" w14:textId="4F01DC8D" w:rsidR="0011547F" w:rsidRDefault="0011547F" w:rsidP="0011547F">
      <w:pPr>
        <w:pStyle w:val="Prrafodelista"/>
        <w:numPr>
          <w:ilvl w:val="0"/>
          <w:numId w:val="10"/>
        </w:numPr>
        <w:jc w:val="both"/>
        <w:rPr>
          <w:rFonts w:ascii="Arial" w:eastAsiaTheme="minorHAnsi" w:hAnsi="Arial" w:cstheme="minorBidi"/>
          <w:b/>
          <w:sz w:val="20"/>
          <w:szCs w:val="24"/>
          <w:lang w:val="en-GB" w:eastAsia="en-US"/>
        </w:rPr>
      </w:pPr>
      <w:r w:rsidRPr="003E5AA0">
        <w:rPr>
          <w:rFonts w:ascii="Arial" w:eastAsiaTheme="minorHAnsi" w:hAnsi="Arial" w:cstheme="minorBidi"/>
          <w:b/>
          <w:sz w:val="20"/>
          <w:szCs w:val="24"/>
          <w:lang w:val="en-GB" w:eastAsia="en-US"/>
        </w:rPr>
        <w:t xml:space="preserve">Presentation of </w:t>
      </w:r>
      <w:r>
        <w:rPr>
          <w:rFonts w:ascii="Arial" w:eastAsiaTheme="minorHAnsi" w:hAnsi="Arial" w:cstheme="minorBidi"/>
          <w:b/>
          <w:sz w:val="20"/>
          <w:szCs w:val="24"/>
          <w:lang w:val="en-GB" w:eastAsia="en-US"/>
        </w:rPr>
        <w:t>ecotoxicological</w:t>
      </w:r>
      <w:r w:rsidRPr="003E5AA0">
        <w:rPr>
          <w:rFonts w:ascii="Arial" w:eastAsiaTheme="minorHAnsi" w:hAnsi="Arial" w:cstheme="minorBidi"/>
          <w:b/>
          <w:sz w:val="20"/>
          <w:szCs w:val="24"/>
          <w:lang w:val="en-GB" w:eastAsia="en-US"/>
        </w:rPr>
        <w:t xml:space="preserve"> data</w:t>
      </w:r>
    </w:p>
    <w:p w14:paraId="6CA147F4" w14:textId="3C106924" w:rsidR="0011547F" w:rsidRDefault="00146DD8" w:rsidP="001A215A">
      <w:pPr>
        <w:spacing w:after="120" w:line="260" w:lineRule="atLeast"/>
        <w:jc w:val="both"/>
        <w:rPr>
          <w:rFonts w:ascii="Arial" w:eastAsiaTheme="minorHAnsi" w:hAnsi="Arial" w:cstheme="minorBidi"/>
          <w:sz w:val="20"/>
          <w:szCs w:val="24"/>
          <w:lang w:val="en-GB" w:eastAsia="en-US"/>
        </w:rPr>
      </w:pPr>
      <w:r w:rsidRPr="00146DD8">
        <w:rPr>
          <w:rFonts w:ascii="Arial" w:eastAsiaTheme="minorHAnsi" w:hAnsi="Arial" w:cstheme="minorBidi"/>
          <w:sz w:val="20"/>
          <w:szCs w:val="24"/>
          <w:lang w:val="en-GB" w:eastAsia="en-US"/>
        </w:rPr>
        <w:t>Anamarija Zagar and Besta Dimitrova presented the results of</w:t>
      </w:r>
      <w:r>
        <w:rPr>
          <w:rFonts w:ascii="Arial" w:eastAsiaTheme="minorHAnsi" w:hAnsi="Arial" w:cstheme="minorBidi"/>
          <w:sz w:val="20"/>
          <w:szCs w:val="24"/>
          <w:lang w:val="en-GB" w:eastAsia="en-US"/>
        </w:rPr>
        <w:t xml:space="preserve"> </w:t>
      </w:r>
      <w:r w:rsidR="00777A91">
        <w:rPr>
          <w:rFonts w:ascii="Arial" w:eastAsiaTheme="minorHAnsi" w:hAnsi="Arial" w:cstheme="minorBidi"/>
          <w:sz w:val="20"/>
          <w:szCs w:val="24"/>
          <w:lang w:val="en-GB" w:eastAsia="en-US"/>
        </w:rPr>
        <w:t>their work, funded through two STSMs, on compilation and review of toxicological literature data for reptiles.</w:t>
      </w:r>
      <w:r w:rsidR="00C472AA">
        <w:rPr>
          <w:rFonts w:ascii="Arial" w:eastAsiaTheme="minorHAnsi" w:hAnsi="Arial" w:cstheme="minorBidi"/>
          <w:sz w:val="20"/>
          <w:szCs w:val="24"/>
          <w:lang w:val="en-GB" w:eastAsia="en-US"/>
        </w:rPr>
        <w:t xml:space="preserve"> A question came up relative to the possibility of </w:t>
      </w:r>
      <w:r w:rsidR="00CB486A">
        <w:rPr>
          <w:rFonts w:ascii="Arial" w:eastAsiaTheme="minorHAnsi" w:hAnsi="Arial" w:cstheme="minorBidi"/>
          <w:sz w:val="20"/>
          <w:szCs w:val="24"/>
          <w:lang w:val="en-GB" w:eastAsia="en-US"/>
        </w:rPr>
        <w:t>analysing</w:t>
      </w:r>
      <w:r w:rsidR="00C472AA">
        <w:rPr>
          <w:rFonts w:ascii="Arial" w:eastAsiaTheme="minorHAnsi" w:hAnsi="Arial" w:cstheme="minorBidi"/>
          <w:sz w:val="20"/>
          <w:szCs w:val="24"/>
          <w:lang w:val="en-GB" w:eastAsia="en-US"/>
        </w:rPr>
        <w:t xml:space="preserve"> the test protocols in the reviewed</w:t>
      </w:r>
      <w:r w:rsidR="003D37C5">
        <w:rPr>
          <w:rFonts w:ascii="Arial" w:eastAsiaTheme="minorHAnsi" w:hAnsi="Arial" w:cstheme="minorBidi"/>
          <w:sz w:val="20"/>
          <w:szCs w:val="24"/>
          <w:lang w:val="en-GB" w:eastAsia="en-US"/>
        </w:rPr>
        <w:t xml:space="preserve"> literature to elaborate a </w:t>
      </w:r>
      <w:r w:rsidR="00300173">
        <w:rPr>
          <w:rFonts w:ascii="Arial" w:eastAsiaTheme="minorHAnsi" w:hAnsi="Arial" w:cstheme="minorBidi"/>
          <w:sz w:val="20"/>
          <w:szCs w:val="24"/>
          <w:lang w:val="en-GB" w:eastAsia="en-US"/>
        </w:rPr>
        <w:t>toxicity test method for reptiles. It was agreed that this question would be addressed during the Third General Meeting.</w:t>
      </w:r>
    </w:p>
    <w:p w14:paraId="5D7BE2FD" w14:textId="243738DE" w:rsidR="00777A91" w:rsidRPr="00146DD8" w:rsidRDefault="00777A91" w:rsidP="001A215A">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Isabel Lopes presented the results of an STSM hosted by her team </w:t>
      </w:r>
      <w:r w:rsidR="00964F81">
        <w:rPr>
          <w:rFonts w:ascii="Arial" w:eastAsiaTheme="minorHAnsi" w:hAnsi="Arial" w:cstheme="minorBidi"/>
          <w:sz w:val="20"/>
          <w:szCs w:val="24"/>
          <w:lang w:val="en-GB" w:eastAsia="en-US"/>
        </w:rPr>
        <w:t>and conducted by John Howieson on the evaluation of behavioural endpoints as potential non-destructive surrogates for chronic toxicity effects of pesticides on aquatic amphibian stages.</w:t>
      </w:r>
    </w:p>
    <w:p w14:paraId="5059CC85" w14:textId="77777777" w:rsidR="00187530" w:rsidRDefault="00187530" w:rsidP="00963817">
      <w:pPr>
        <w:spacing w:after="120" w:line="260" w:lineRule="atLeast"/>
        <w:jc w:val="both"/>
        <w:rPr>
          <w:rFonts w:ascii="Arial" w:eastAsiaTheme="minorHAnsi" w:hAnsi="Arial" w:cstheme="minorBidi"/>
          <w:sz w:val="20"/>
          <w:szCs w:val="24"/>
          <w:lang w:val="en-GB" w:eastAsia="en-US"/>
        </w:rPr>
      </w:pPr>
    </w:p>
    <w:p w14:paraId="592E5717" w14:textId="400126AC" w:rsidR="00904946" w:rsidRDefault="00C6129C" w:rsidP="00904946">
      <w:pPr>
        <w:pStyle w:val="Prrafodelista"/>
        <w:numPr>
          <w:ilvl w:val="0"/>
          <w:numId w:val="10"/>
        </w:numPr>
        <w:jc w:val="both"/>
        <w:rPr>
          <w:rFonts w:ascii="Arial" w:eastAsiaTheme="minorHAnsi" w:hAnsi="Arial" w:cstheme="minorBidi"/>
          <w:b/>
          <w:sz w:val="20"/>
          <w:szCs w:val="24"/>
          <w:lang w:val="en-GB" w:eastAsia="en-US"/>
        </w:rPr>
      </w:pPr>
      <w:r w:rsidRPr="00C6129C">
        <w:rPr>
          <w:rFonts w:ascii="Arial" w:eastAsiaTheme="minorHAnsi" w:hAnsi="Arial" w:cstheme="minorBidi"/>
          <w:b/>
          <w:sz w:val="20"/>
          <w:szCs w:val="24"/>
          <w:lang w:val="en-GB" w:eastAsia="en-US"/>
        </w:rPr>
        <w:t xml:space="preserve">Identify links and needs with fit-of-purpose risk </w:t>
      </w:r>
      <w:proofErr w:type="gramStart"/>
      <w:r w:rsidRPr="00C6129C">
        <w:rPr>
          <w:rFonts w:ascii="Arial" w:eastAsiaTheme="minorHAnsi" w:hAnsi="Arial" w:cstheme="minorBidi"/>
          <w:b/>
          <w:sz w:val="20"/>
          <w:szCs w:val="24"/>
          <w:lang w:val="en-GB" w:eastAsia="en-US"/>
        </w:rPr>
        <w:t>assessment</w:t>
      </w:r>
      <w:proofErr w:type="gramEnd"/>
    </w:p>
    <w:p w14:paraId="7A924A03" w14:textId="4FAE1F5E" w:rsidR="00904946" w:rsidRDefault="00C6129C" w:rsidP="0096381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lastRenderedPageBreak/>
        <w:t xml:space="preserve">Peter van Vliet presented the fit-for-purpose risk assessment proposal that was elaborated by Emily McVey and </w:t>
      </w:r>
      <w:r w:rsidR="00134C78">
        <w:rPr>
          <w:rFonts w:ascii="Arial" w:eastAsiaTheme="minorHAnsi" w:hAnsi="Arial" w:cstheme="minorBidi"/>
          <w:sz w:val="20"/>
          <w:szCs w:val="24"/>
          <w:lang w:val="en-GB" w:eastAsia="en-US"/>
        </w:rPr>
        <w:t xml:space="preserve">presented originally at the Second General Meeting in Krakow (September 2022). The </w:t>
      </w:r>
      <w:r w:rsidR="003A680E">
        <w:rPr>
          <w:rFonts w:ascii="Arial" w:eastAsiaTheme="minorHAnsi" w:hAnsi="Arial" w:cstheme="minorBidi"/>
          <w:sz w:val="20"/>
          <w:szCs w:val="24"/>
          <w:lang w:val="en-GB" w:eastAsia="en-US"/>
        </w:rPr>
        <w:t>parts of the risk assessment scheme where the topics under evaluation in this meeting were identified.</w:t>
      </w:r>
    </w:p>
    <w:p w14:paraId="6C01CA98" w14:textId="77777777" w:rsidR="00187530" w:rsidRDefault="00187530" w:rsidP="00963817">
      <w:pPr>
        <w:spacing w:after="120" w:line="260" w:lineRule="atLeast"/>
        <w:jc w:val="both"/>
        <w:rPr>
          <w:rFonts w:ascii="Arial" w:eastAsiaTheme="minorHAnsi" w:hAnsi="Arial" w:cstheme="minorBidi"/>
          <w:sz w:val="20"/>
          <w:szCs w:val="24"/>
          <w:lang w:val="en-GB" w:eastAsia="en-US"/>
        </w:rPr>
      </w:pPr>
    </w:p>
    <w:p w14:paraId="09A4E6CD" w14:textId="57B3A6C6" w:rsidR="002F6D10" w:rsidRDefault="002F6D10" w:rsidP="002F6D10">
      <w:pPr>
        <w:pStyle w:val="Prrafodelista"/>
        <w:numPr>
          <w:ilvl w:val="0"/>
          <w:numId w:val="10"/>
        </w:numPr>
        <w:jc w:val="both"/>
        <w:rPr>
          <w:rFonts w:ascii="Arial" w:eastAsiaTheme="minorHAnsi" w:hAnsi="Arial" w:cstheme="minorBidi"/>
          <w:b/>
          <w:sz w:val="20"/>
          <w:szCs w:val="24"/>
          <w:lang w:val="en-GB" w:eastAsia="en-US"/>
        </w:rPr>
      </w:pPr>
      <w:r>
        <w:rPr>
          <w:rFonts w:ascii="Arial" w:eastAsiaTheme="minorHAnsi" w:hAnsi="Arial" w:cstheme="minorBidi"/>
          <w:b/>
          <w:sz w:val="20"/>
          <w:szCs w:val="24"/>
          <w:lang w:val="en-GB" w:eastAsia="en-US"/>
        </w:rPr>
        <w:t>Focused discussion</w:t>
      </w:r>
      <w:r w:rsidRPr="00C6129C">
        <w:rPr>
          <w:rFonts w:ascii="Arial" w:eastAsiaTheme="minorHAnsi" w:hAnsi="Arial" w:cstheme="minorBidi"/>
          <w:b/>
          <w:sz w:val="20"/>
          <w:szCs w:val="24"/>
          <w:lang w:val="en-GB" w:eastAsia="en-US"/>
        </w:rPr>
        <w:t xml:space="preserve"> links and needs with fit-of-purpose risk </w:t>
      </w:r>
      <w:proofErr w:type="gramStart"/>
      <w:r w:rsidRPr="00C6129C">
        <w:rPr>
          <w:rFonts w:ascii="Arial" w:eastAsiaTheme="minorHAnsi" w:hAnsi="Arial" w:cstheme="minorBidi"/>
          <w:b/>
          <w:sz w:val="20"/>
          <w:szCs w:val="24"/>
          <w:lang w:val="en-GB" w:eastAsia="en-US"/>
        </w:rPr>
        <w:t>assessment</w:t>
      </w:r>
      <w:proofErr w:type="gramEnd"/>
    </w:p>
    <w:p w14:paraId="20781589" w14:textId="77777777" w:rsidR="00980B20" w:rsidRDefault="002F6D10" w:rsidP="0096381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Two discussion groups were created</w:t>
      </w:r>
      <w:r w:rsidR="00723631">
        <w:rPr>
          <w:rFonts w:ascii="Arial" w:eastAsiaTheme="minorHAnsi" w:hAnsi="Arial" w:cstheme="minorBidi"/>
          <w:sz w:val="20"/>
          <w:szCs w:val="24"/>
          <w:lang w:val="en-GB" w:eastAsia="en-US"/>
        </w:rPr>
        <w:t xml:space="preserve">, one focused on the choice of indicator and focal species and another one on the integration of ecotoxicological data </w:t>
      </w:r>
      <w:r w:rsidR="00980B20">
        <w:rPr>
          <w:rFonts w:ascii="Arial" w:eastAsiaTheme="minorHAnsi" w:hAnsi="Arial" w:cstheme="minorBidi"/>
          <w:sz w:val="20"/>
          <w:szCs w:val="24"/>
          <w:lang w:val="en-GB" w:eastAsia="en-US"/>
        </w:rPr>
        <w:t>into the risk assessment scheme.</w:t>
      </w:r>
    </w:p>
    <w:p w14:paraId="7624810C" w14:textId="588C2094" w:rsidR="0043296C" w:rsidRDefault="00980B20" w:rsidP="0096381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focal species group reviewed the different traits in the database to explore the direction in which each of </w:t>
      </w:r>
      <w:r w:rsidR="0043296C">
        <w:rPr>
          <w:rFonts w:ascii="Arial" w:eastAsiaTheme="minorHAnsi" w:hAnsi="Arial" w:cstheme="minorBidi"/>
          <w:sz w:val="20"/>
          <w:szCs w:val="24"/>
          <w:lang w:val="en-GB" w:eastAsia="en-US"/>
        </w:rPr>
        <w:t>those traits could influence a higher or lower susceptibility to acute and chronic pesticides. The proposal was shown in the following table</w:t>
      </w:r>
      <w:r w:rsidR="00DB35E2">
        <w:rPr>
          <w:rFonts w:ascii="Arial" w:eastAsiaTheme="minorHAnsi" w:hAnsi="Arial" w:cstheme="minorBidi"/>
          <w:sz w:val="20"/>
          <w:szCs w:val="24"/>
          <w:lang w:val="en-GB" w:eastAsia="en-US"/>
        </w:rPr>
        <w:t xml:space="preserve">, referred to the type of </w:t>
      </w:r>
      <w:r w:rsidR="000A296C">
        <w:rPr>
          <w:rFonts w:ascii="Arial" w:eastAsiaTheme="minorHAnsi" w:hAnsi="Arial" w:cstheme="minorBidi"/>
          <w:sz w:val="20"/>
          <w:szCs w:val="24"/>
          <w:lang w:val="en-GB" w:eastAsia="en-US"/>
        </w:rPr>
        <w:t>toxicity (acute or chronic) and</w:t>
      </w:r>
      <w:r w:rsidR="008C6D74">
        <w:rPr>
          <w:rFonts w:ascii="Arial" w:eastAsiaTheme="minorHAnsi" w:hAnsi="Arial" w:cstheme="minorBidi"/>
          <w:sz w:val="20"/>
          <w:szCs w:val="24"/>
          <w:lang w:val="en-GB" w:eastAsia="en-US"/>
        </w:rPr>
        <w:t xml:space="preserve"> </w:t>
      </w:r>
      <w:r w:rsidR="000A296C">
        <w:rPr>
          <w:rFonts w:ascii="Arial" w:eastAsiaTheme="minorHAnsi" w:hAnsi="Arial" w:cstheme="minorBidi"/>
          <w:sz w:val="20"/>
          <w:szCs w:val="24"/>
          <w:lang w:val="en-GB" w:eastAsia="en-US"/>
        </w:rPr>
        <w:t>the protection goal (individual or population)</w:t>
      </w:r>
      <w:r w:rsidR="0043296C">
        <w:rPr>
          <w:rFonts w:ascii="Arial" w:eastAsiaTheme="minorHAnsi" w:hAnsi="Arial" w:cstheme="minorBidi"/>
          <w:sz w:val="20"/>
          <w:szCs w:val="24"/>
          <w:lang w:val="en-GB" w:eastAsia="en-US"/>
        </w:rPr>
        <w:t>:</w:t>
      </w:r>
    </w:p>
    <w:tbl>
      <w:tblPr>
        <w:tblStyle w:val="Tablaconcuadrcula"/>
        <w:tblW w:w="8500" w:type="dxa"/>
        <w:tblLook w:val="04A0" w:firstRow="1" w:lastRow="0" w:firstColumn="1" w:lastColumn="0" w:noHBand="0" w:noVBand="1"/>
      </w:tblPr>
      <w:tblGrid>
        <w:gridCol w:w="3397"/>
        <w:gridCol w:w="2552"/>
        <w:gridCol w:w="2551"/>
      </w:tblGrid>
      <w:tr w:rsidR="00DB35E2" w:rsidRPr="001C75AC" w14:paraId="2011F959" w14:textId="77777777" w:rsidTr="001C75AC">
        <w:trPr>
          <w:trHeight w:val="30"/>
        </w:trPr>
        <w:tc>
          <w:tcPr>
            <w:tcW w:w="3397" w:type="dxa"/>
            <w:hideMark/>
          </w:tcPr>
          <w:p w14:paraId="4A4F448B"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b/>
                <w:bCs/>
                <w:sz w:val="20"/>
                <w:szCs w:val="20"/>
                <w:lang w:val="en-US" w:eastAsia="en-US"/>
              </w:rPr>
              <w:t>Parameter</w:t>
            </w:r>
          </w:p>
        </w:tc>
        <w:tc>
          <w:tcPr>
            <w:tcW w:w="2552" w:type="dxa"/>
            <w:hideMark/>
          </w:tcPr>
          <w:p w14:paraId="5E056EEC"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b/>
                <w:bCs/>
                <w:sz w:val="20"/>
                <w:szCs w:val="20"/>
                <w:lang w:val="en-US" w:eastAsia="en-US"/>
              </w:rPr>
              <w:t>Susceptibility (acute)</w:t>
            </w:r>
          </w:p>
        </w:tc>
        <w:tc>
          <w:tcPr>
            <w:tcW w:w="2551" w:type="dxa"/>
            <w:hideMark/>
          </w:tcPr>
          <w:p w14:paraId="117D3931"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b/>
                <w:bCs/>
                <w:sz w:val="20"/>
                <w:szCs w:val="20"/>
                <w:lang w:val="en-US" w:eastAsia="en-US"/>
              </w:rPr>
              <w:t>Susceptibility (chronic)</w:t>
            </w:r>
          </w:p>
        </w:tc>
      </w:tr>
      <w:tr w:rsidR="00DB35E2" w:rsidRPr="001C75AC" w14:paraId="0DCFCE55" w14:textId="77777777" w:rsidTr="001C75AC">
        <w:tc>
          <w:tcPr>
            <w:tcW w:w="3397" w:type="dxa"/>
            <w:hideMark/>
          </w:tcPr>
          <w:p w14:paraId="6C9786E6"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Survival rate</w:t>
            </w:r>
          </w:p>
        </w:tc>
        <w:tc>
          <w:tcPr>
            <w:tcW w:w="2552" w:type="dxa"/>
            <w:hideMark/>
          </w:tcPr>
          <w:p w14:paraId="0C1F0EE8"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1E8B9CBF" w14:textId="24E32B4D" w:rsidR="00DB35E2" w:rsidRPr="00DB35E2" w:rsidRDefault="000A296C" w:rsidP="001C75AC">
            <w:pPr>
              <w:jc w:val="both"/>
              <w:rPr>
                <w:rFonts w:ascii="Arial" w:hAnsi="Arial" w:cs="Arial"/>
                <w:sz w:val="20"/>
                <w:szCs w:val="20"/>
                <w:lang w:val="es-ES" w:eastAsia="en-US"/>
              </w:rPr>
            </w:pPr>
            <w:r w:rsidRPr="001C75AC">
              <w:rPr>
                <w:rFonts w:ascii="Arial" w:hAnsi="Arial" w:cs="Arial"/>
                <w:sz w:val="20"/>
                <w:szCs w:val="20"/>
                <w:lang w:val="en-US" w:eastAsia="en-US"/>
              </w:rPr>
              <w:t>Pop: i</w:t>
            </w:r>
            <w:r w:rsidR="00DB35E2" w:rsidRPr="00DB35E2">
              <w:rPr>
                <w:rFonts w:ascii="Arial" w:hAnsi="Arial" w:cs="Arial"/>
                <w:sz w:val="20"/>
                <w:szCs w:val="20"/>
                <w:lang w:val="en-US" w:eastAsia="en-US"/>
              </w:rPr>
              <w:t>nverse</w:t>
            </w:r>
          </w:p>
        </w:tc>
      </w:tr>
      <w:tr w:rsidR="00DB35E2" w:rsidRPr="001C75AC" w14:paraId="7AD665FA" w14:textId="77777777" w:rsidTr="001C75AC">
        <w:tc>
          <w:tcPr>
            <w:tcW w:w="3397" w:type="dxa"/>
            <w:hideMark/>
          </w:tcPr>
          <w:p w14:paraId="782B3904"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Time to metamorphosis</w:t>
            </w:r>
          </w:p>
        </w:tc>
        <w:tc>
          <w:tcPr>
            <w:tcW w:w="2552" w:type="dxa"/>
            <w:hideMark/>
          </w:tcPr>
          <w:p w14:paraId="2D3739C0"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1C7ADC46" w14:textId="77777777" w:rsidR="000A296C" w:rsidRPr="001C75AC" w:rsidRDefault="000A296C"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xml:space="preserve"> (</w:t>
            </w:r>
            <w:r w:rsidRPr="00DB35E2">
              <w:rPr>
                <w:rFonts w:ascii="Arial" w:hAnsi="Arial" w:cs="Arial"/>
                <w:sz w:val="20"/>
                <w:szCs w:val="20"/>
                <w:lang w:val="en-US" w:eastAsia="en-US"/>
              </w:rPr>
              <w:t>aquat</w:t>
            </w:r>
            <w:r w:rsidRPr="001C75AC">
              <w:rPr>
                <w:rFonts w:ascii="Arial" w:hAnsi="Arial" w:cs="Arial"/>
                <w:sz w:val="20"/>
                <w:szCs w:val="20"/>
                <w:lang w:val="en-US" w:eastAsia="en-US"/>
              </w:rPr>
              <w:t>ic</w:t>
            </w:r>
            <w:r w:rsidRPr="00DB35E2">
              <w:rPr>
                <w:rFonts w:ascii="Arial" w:hAnsi="Arial" w:cs="Arial"/>
                <w:sz w:val="20"/>
                <w:szCs w:val="20"/>
                <w:lang w:val="en-US" w:eastAsia="en-US"/>
              </w:rPr>
              <w:t>)</w:t>
            </w:r>
            <w:r w:rsidRPr="001C75AC">
              <w:rPr>
                <w:rFonts w:ascii="Arial" w:hAnsi="Arial" w:cs="Arial"/>
                <w:sz w:val="20"/>
                <w:szCs w:val="20"/>
                <w:lang w:val="en-US" w:eastAsia="en-US"/>
              </w:rPr>
              <w:t>: d</w:t>
            </w:r>
            <w:r w:rsidR="00DB35E2" w:rsidRPr="00DB35E2">
              <w:rPr>
                <w:rFonts w:ascii="Arial" w:hAnsi="Arial" w:cs="Arial"/>
                <w:sz w:val="20"/>
                <w:szCs w:val="20"/>
                <w:lang w:val="en-US" w:eastAsia="en-US"/>
              </w:rPr>
              <w:t>irect</w:t>
            </w:r>
          </w:p>
          <w:p w14:paraId="73EDEF48" w14:textId="2999EE98" w:rsidR="00DB35E2" w:rsidRPr="00DB35E2" w:rsidRDefault="000A296C" w:rsidP="001C75AC">
            <w:pPr>
              <w:jc w:val="both"/>
              <w:rPr>
                <w:rFonts w:ascii="Arial" w:hAnsi="Arial" w:cs="Arial"/>
                <w:sz w:val="20"/>
                <w:szCs w:val="20"/>
                <w:lang w:val="en-GB" w:eastAsia="en-US"/>
              </w:rPr>
            </w:pPr>
            <w:r w:rsidRPr="001C75AC">
              <w:rPr>
                <w:rFonts w:ascii="Arial" w:hAnsi="Arial" w:cs="Arial"/>
                <w:sz w:val="20"/>
                <w:szCs w:val="20"/>
                <w:lang w:val="en-US" w:eastAsia="en-US"/>
              </w:rPr>
              <w:t>Rest: unsure</w:t>
            </w:r>
          </w:p>
        </w:tc>
      </w:tr>
      <w:tr w:rsidR="00DB35E2" w:rsidRPr="001C75AC" w14:paraId="13E5E6FA" w14:textId="77777777" w:rsidTr="001C75AC">
        <w:tc>
          <w:tcPr>
            <w:tcW w:w="3397" w:type="dxa"/>
            <w:hideMark/>
          </w:tcPr>
          <w:p w14:paraId="0E131B83" w14:textId="77777777" w:rsidR="00DB35E2" w:rsidRPr="00DB35E2" w:rsidRDefault="00DB35E2" w:rsidP="001C75AC">
            <w:pPr>
              <w:jc w:val="both"/>
              <w:rPr>
                <w:rFonts w:ascii="Arial" w:hAnsi="Arial" w:cs="Arial"/>
                <w:sz w:val="20"/>
                <w:szCs w:val="20"/>
                <w:lang w:val="en-GB" w:eastAsia="en-US"/>
              </w:rPr>
            </w:pPr>
            <w:r w:rsidRPr="00DB35E2">
              <w:rPr>
                <w:rFonts w:ascii="Arial" w:hAnsi="Arial" w:cs="Arial"/>
                <w:sz w:val="20"/>
                <w:szCs w:val="20"/>
                <w:lang w:val="en-US" w:eastAsia="en-US"/>
              </w:rPr>
              <w:t>Surface to volume ratio (from mass and length dana)</w:t>
            </w:r>
          </w:p>
        </w:tc>
        <w:tc>
          <w:tcPr>
            <w:tcW w:w="2552" w:type="dxa"/>
            <w:hideMark/>
          </w:tcPr>
          <w:p w14:paraId="0E133574" w14:textId="3C829AA1" w:rsidR="00DB35E2" w:rsidRPr="00DB35E2" w:rsidRDefault="008C6D74"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127C7BDE" w14:textId="0A4DDAC0" w:rsidR="000A296C" w:rsidRPr="001C75AC" w:rsidRDefault="000A296C"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p w14:paraId="11F653D9" w14:textId="1F4AC536" w:rsidR="00DB35E2" w:rsidRPr="00DB35E2" w:rsidRDefault="00DB35E2" w:rsidP="001C75AC">
            <w:pPr>
              <w:jc w:val="both"/>
              <w:rPr>
                <w:rFonts w:ascii="Arial" w:hAnsi="Arial" w:cs="Arial"/>
                <w:sz w:val="20"/>
                <w:szCs w:val="20"/>
                <w:lang w:val="es-ES" w:eastAsia="en-US"/>
              </w:rPr>
            </w:pPr>
          </w:p>
        </w:tc>
      </w:tr>
      <w:tr w:rsidR="00DB35E2" w:rsidRPr="001C75AC" w14:paraId="7828E024" w14:textId="77777777" w:rsidTr="001C75AC">
        <w:tc>
          <w:tcPr>
            <w:tcW w:w="3397" w:type="dxa"/>
            <w:hideMark/>
          </w:tcPr>
          <w:p w14:paraId="75DAC52E"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Time to sexual maturity</w:t>
            </w:r>
          </w:p>
        </w:tc>
        <w:tc>
          <w:tcPr>
            <w:tcW w:w="2552" w:type="dxa"/>
            <w:hideMark/>
          </w:tcPr>
          <w:p w14:paraId="64CB7709"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6CA281E3" w14:textId="2AF1AF02" w:rsidR="00DB35E2" w:rsidRPr="00DB35E2" w:rsidRDefault="000A296C" w:rsidP="001C75AC">
            <w:pPr>
              <w:jc w:val="both"/>
              <w:rPr>
                <w:rFonts w:ascii="Arial" w:hAnsi="Arial" w:cs="Arial"/>
                <w:sz w:val="20"/>
                <w:szCs w:val="20"/>
                <w:lang w:val="es-ES" w:eastAsia="en-US"/>
              </w:rPr>
            </w:pPr>
            <w:r w:rsidRPr="001C75AC">
              <w:rPr>
                <w:rFonts w:ascii="Arial" w:hAnsi="Arial" w:cs="Arial"/>
                <w:sz w:val="20"/>
                <w:szCs w:val="20"/>
                <w:lang w:val="en-US" w:eastAsia="en-US"/>
              </w:rPr>
              <w:t>Pop: d</w:t>
            </w:r>
            <w:r w:rsidR="00DB35E2" w:rsidRPr="00DB35E2">
              <w:rPr>
                <w:rFonts w:ascii="Arial" w:hAnsi="Arial" w:cs="Arial"/>
                <w:sz w:val="20"/>
                <w:szCs w:val="20"/>
                <w:lang w:val="en-US" w:eastAsia="en-US"/>
              </w:rPr>
              <w:t>irect</w:t>
            </w:r>
          </w:p>
        </w:tc>
      </w:tr>
      <w:tr w:rsidR="00DB35E2" w:rsidRPr="001C75AC" w14:paraId="6CCD539E" w14:textId="77777777" w:rsidTr="001C75AC">
        <w:tc>
          <w:tcPr>
            <w:tcW w:w="3397" w:type="dxa"/>
            <w:hideMark/>
          </w:tcPr>
          <w:p w14:paraId="532BB76B"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Lifespan</w:t>
            </w:r>
          </w:p>
        </w:tc>
        <w:tc>
          <w:tcPr>
            <w:tcW w:w="2552" w:type="dxa"/>
            <w:hideMark/>
          </w:tcPr>
          <w:p w14:paraId="4F2864E7"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5BB3D45F" w14:textId="0B7F3E25" w:rsidR="00DB35E2" w:rsidRPr="00DB35E2" w:rsidRDefault="000A296C" w:rsidP="001C75AC">
            <w:pPr>
              <w:jc w:val="both"/>
              <w:rPr>
                <w:rFonts w:ascii="Arial" w:hAnsi="Arial" w:cs="Arial"/>
                <w:sz w:val="20"/>
                <w:szCs w:val="20"/>
                <w:lang w:val="es-ES" w:eastAsia="en-US"/>
              </w:rPr>
            </w:pPr>
            <w:r w:rsidRPr="001C75AC">
              <w:rPr>
                <w:rFonts w:ascii="Arial" w:hAnsi="Arial" w:cs="Arial"/>
                <w:sz w:val="20"/>
                <w:szCs w:val="20"/>
                <w:lang w:val="en-US" w:eastAsia="en-US"/>
              </w:rPr>
              <w:t>Pop: i</w:t>
            </w:r>
            <w:r w:rsidRPr="00DB35E2">
              <w:rPr>
                <w:rFonts w:ascii="Arial" w:hAnsi="Arial" w:cs="Arial"/>
                <w:sz w:val="20"/>
                <w:szCs w:val="20"/>
                <w:lang w:val="en-US" w:eastAsia="en-US"/>
              </w:rPr>
              <w:t>nverse</w:t>
            </w:r>
          </w:p>
        </w:tc>
      </w:tr>
      <w:tr w:rsidR="00DB35E2" w:rsidRPr="001C75AC" w14:paraId="09E7C0AF" w14:textId="77777777" w:rsidTr="001C75AC">
        <w:tc>
          <w:tcPr>
            <w:tcW w:w="3397" w:type="dxa"/>
            <w:hideMark/>
          </w:tcPr>
          <w:p w14:paraId="1C0DCDB6"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Egg biometry</w:t>
            </w:r>
          </w:p>
        </w:tc>
        <w:tc>
          <w:tcPr>
            <w:tcW w:w="2552" w:type="dxa"/>
            <w:hideMark/>
          </w:tcPr>
          <w:p w14:paraId="58997597"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1240FDB8"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r>
      <w:tr w:rsidR="00DB35E2" w:rsidRPr="001C75AC" w14:paraId="2C97FDEF" w14:textId="77777777" w:rsidTr="001C75AC">
        <w:tc>
          <w:tcPr>
            <w:tcW w:w="3397" w:type="dxa"/>
            <w:hideMark/>
          </w:tcPr>
          <w:p w14:paraId="1AD7AB8E"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Clutch size</w:t>
            </w:r>
          </w:p>
        </w:tc>
        <w:tc>
          <w:tcPr>
            <w:tcW w:w="2552" w:type="dxa"/>
            <w:hideMark/>
          </w:tcPr>
          <w:p w14:paraId="5EDD1FFB"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6420BF44" w14:textId="26CCB855" w:rsidR="00DB35E2" w:rsidRPr="00DB35E2" w:rsidRDefault="000A296C" w:rsidP="001C75AC">
            <w:pPr>
              <w:jc w:val="both"/>
              <w:rPr>
                <w:rFonts w:ascii="Arial" w:hAnsi="Arial" w:cs="Arial"/>
                <w:sz w:val="20"/>
                <w:szCs w:val="20"/>
                <w:lang w:val="es-ES" w:eastAsia="en-US"/>
              </w:rPr>
            </w:pPr>
            <w:r w:rsidRPr="001C75AC">
              <w:rPr>
                <w:rFonts w:ascii="Arial" w:hAnsi="Arial" w:cs="Arial"/>
                <w:sz w:val="20"/>
                <w:szCs w:val="20"/>
                <w:lang w:val="en-US" w:eastAsia="en-US"/>
              </w:rPr>
              <w:t>Pop: i</w:t>
            </w:r>
            <w:r w:rsidRPr="00DB35E2">
              <w:rPr>
                <w:rFonts w:ascii="Arial" w:hAnsi="Arial" w:cs="Arial"/>
                <w:sz w:val="20"/>
                <w:szCs w:val="20"/>
                <w:lang w:val="en-US" w:eastAsia="en-US"/>
              </w:rPr>
              <w:t>nverse</w:t>
            </w:r>
          </w:p>
        </w:tc>
      </w:tr>
      <w:tr w:rsidR="001C75AC" w:rsidRPr="001C75AC" w14:paraId="1EF49DA5" w14:textId="77777777" w:rsidTr="001C75AC">
        <w:tc>
          <w:tcPr>
            <w:tcW w:w="3397" w:type="dxa"/>
            <w:hideMark/>
          </w:tcPr>
          <w:p w14:paraId="5DF57BE9"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Daily egg laying rate</w:t>
            </w:r>
          </w:p>
        </w:tc>
        <w:tc>
          <w:tcPr>
            <w:tcW w:w="2552" w:type="dxa"/>
            <w:hideMark/>
          </w:tcPr>
          <w:p w14:paraId="2D9F7B6D" w14:textId="178B350D" w:rsidR="00DB35E2" w:rsidRPr="00DB35E2" w:rsidRDefault="00DB35E2" w:rsidP="001C75AC">
            <w:pPr>
              <w:jc w:val="both"/>
              <w:rPr>
                <w:rFonts w:ascii="Arial" w:hAnsi="Arial" w:cs="Arial"/>
                <w:sz w:val="20"/>
                <w:szCs w:val="20"/>
                <w:lang w:val="en-GB" w:eastAsia="en-US"/>
              </w:rPr>
            </w:pPr>
            <w:r w:rsidRPr="00DB35E2">
              <w:rPr>
                <w:rFonts w:ascii="Arial" w:hAnsi="Arial" w:cs="Arial"/>
                <w:sz w:val="20"/>
                <w:szCs w:val="20"/>
                <w:lang w:val="en-US" w:eastAsia="en-US"/>
              </w:rPr>
              <w:t>(</w:t>
            </w:r>
            <w:proofErr w:type="gramStart"/>
            <w:r w:rsidRPr="00DB35E2">
              <w:rPr>
                <w:rFonts w:ascii="Arial" w:hAnsi="Arial" w:cs="Arial"/>
                <w:sz w:val="20"/>
                <w:szCs w:val="20"/>
                <w:lang w:val="en-US" w:eastAsia="en-US"/>
              </w:rPr>
              <w:t>see</w:t>
            </w:r>
            <w:proofErr w:type="gramEnd"/>
            <w:r w:rsidRPr="00DB35E2">
              <w:rPr>
                <w:rFonts w:ascii="Arial" w:hAnsi="Arial" w:cs="Arial"/>
                <w:sz w:val="20"/>
                <w:szCs w:val="20"/>
                <w:lang w:val="en-US" w:eastAsia="en-US"/>
              </w:rPr>
              <w:t xml:space="preserve"> time of permanence in breeding sites)</w:t>
            </w:r>
          </w:p>
        </w:tc>
        <w:tc>
          <w:tcPr>
            <w:tcW w:w="2551" w:type="dxa"/>
            <w:hideMark/>
          </w:tcPr>
          <w:p w14:paraId="5A4EE002" w14:textId="77777777" w:rsidR="00DB35E2" w:rsidRPr="00DB35E2" w:rsidRDefault="00DB35E2" w:rsidP="001C75AC">
            <w:pPr>
              <w:jc w:val="both"/>
              <w:rPr>
                <w:rFonts w:ascii="Arial" w:hAnsi="Arial" w:cs="Arial"/>
                <w:sz w:val="20"/>
                <w:szCs w:val="20"/>
                <w:lang w:val="en-GB" w:eastAsia="en-US"/>
              </w:rPr>
            </w:pPr>
          </w:p>
        </w:tc>
      </w:tr>
      <w:tr w:rsidR="00DB35E2" w:rsidRPr="001C75AC" w14:paraId="7B25846C" w14:textId="77777777" w:rsidTr="001C75AC">
        <w:tc>
          <w:tcPr>
            <w:tcW w:w="3397" w:type="dxa"/>
            <w:hideMark/>
          </w:tcPr>
          <w:p w14:paraId="29509284"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Clutches per year</w:t>
            </w:r>
          </w:p>
        </w:tc>
        <w:tc>
          <w:tcPr>
            <w:tcW w:w="2552" w:type="dxa"/>
            <w:hideMark/>
          </w:tcPr>
          <w:p w14:paraId="1311A80C"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w:t>
            </w:r>
          </w:p>
        </w:tc>
        <w:tc>
          <w:tcPr>
            <w:tcW w:w="2551" w:type="dxa"/>
            <w:hideMark/>
          </w:tcPr>
          <w:p w14:paraId="2768A2E3" w14:textId="220FFD3C" w:rsidR="00DB35E2" w:rsidRPr="00DB35E2" w:rsidRDefault="000A296C" w:rsidP="001C75AC">
            <w:pPr>
              <w:jc w:val="both"/>
              <w:rPr>
                <w:rFonts w:ascii="Arial" w:hAnsi="Arial" w:cs="Arial"/>
                <w:sz w:val="20"/>
                <w:szCs w:val="20"/>
                <w:lang w:val="es-ES" w:eastAsia="en-US"/>
              </w:rPr>
            </w:pPr>
            <w:r w:rsidRPr="001C75AC">
              <w:rPr>
                <w:rFonts w:ascii="Arial" w:hAnsi="Arial" w:cs="Arial"/>
                <w:sz w:val="20"/>
                <w:szCs w:val="20"/>
                <w:lang w:val="en-US" w:eastAsia="en-US"/>
              </w:rPr>
              <w:t>Pop: i</w:t>
            </w:r>
            <w:r w:rsidRPr="00DB35E2">
              <w:rPr>
                <w:rFonts w:ascii="Arial" w:hAnsi="Arial" w:cs="Arial"/>
                <w:sz w:val="20"/>
                <w:szCs w:val="20"/>
                <w:lang w:val="en-US" w:eastAsia="en-US"/>
              </w:rPr>
              <w:t>nverse</w:t>
            </w:r>
          </w:p>
        </w:tc>
      </w:tr>
      <w:tr w:rsidR="00DB35E2" w:rsidRPr="001C75AC" w14:paraId="72173424" w14:textId="77777777" w:rsidTr="001C75AC">
        <w:tc>
          <w:tcPr>
            <w:tcW w:w="3397" w:type="dxa"/>
            <w:hideMark/>
          </w:tcPr>
          <w:p w14:paraId="69562C20"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en-US" w:eastAsia="en-US"/>
              </w:rPr>
              <w:t>Ovarian mass</w:t>
            </w:r>
          </w:p>
        </w:tc>
        <w:tc>
          <w:tcPr>
            <w:tcW w:w="2552" w:type="dxa"/>
            <w:hideMark/>
          </w:tcPr>
          <w:p w14:paraId="29E7C26F" w14:textId="6B5E2B5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(related to body condition)</w:t>
            </w:r>
          </w:p>
        </w:tc>
        <w:tc>
          <w:tcPr>
            <w:tcW w:w="2551" w:type="dxa"/>
            <w:hideMark/>
          </w:tcPr>
          <w:p w14:paraId="3B1AEB00" w14:textId="37B18A04"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(related to body condition)</w:t>
            </w:r>
          </w:p>
        </w:tc>
      </w:tr>
      <w:tr w:rsidR="00DB35E2" w:rsidRPr="001C75AC" w14:paraId="15906968" w14:textId="77777777" w:rsidTr="001C75AC">
        <w:tc>
          <w:tcPr>
            <w:tcW w:w="3397" w:type="dxa"/>
            <w:hideMark/>
          </w:tcPr>
          <w:p w14:paraId="7F382C34"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Reproductive effort and investment</w:t>
            </w:r>
          </w:p>
        </w:tc>
        <w:tc>
          <w:tcPr>
            <w:tcW w:w="2552" w:type="dxa"/>
            <w:hideMark/>
          </w:tcPr>
          <w:p w14:paraId="2904D315"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w:t>
            </w:r>
          </w:p>
        </w:tc>
        <w:tc>
          <w:tcPr>
            <w:tcW w:w="2551" w:type="dxa"/>
            <w:hideMark/>
          </w:tcPr>
          <w:p w14:paraId="3922A0C6" w14:textId="630B180C" w:rsidR="00DB35E2" w:rsidRPr="00DB35E2" w:rsidRDefault="000A296C" w:rsidP="001C75AC">
            <w:pPr>
              <w:jc w:val="both"/>
              <w:rPr>
                <w:rFonts w:ascii="Arial" w:hAnsi="Arial" w:cs="Arial"/>
                <w:sz w:val="20"/>
                <w:szCs w:val="20"/>
                <w:lang w:val="es-ES" w:eastAsia="en-US"/>
              </w:rPr>
            </w:pPr>
            <w:r w:rsidRPr="001C75AC">
              <w:rPr>
                <w:rFonts w:ascii="Arial" w:hAnsi="Arial" w:cs="Arial"/>
                <w:sz w:val="20"/>
                <w:szCs w:val="20"/>
                <w:lang w:val="en-US" w:eastAsia="en-US"/>
              </w:rPr>
              <w:t xml:space="preserve">Pop and </w:t>
            </w:r>
            <w:proofErr w:type="spellStart"/>
            <w:r w:rsidRPr="001C75AC">
              <w:rPr>
                <w:rFonts w:ascii="Arial" w:hAnsi="Arial" w:cs="Arial"/>
                <w:sz w:val="20"/>
                <w:szCs w:val="20"/>
                <w:lang w:val="en-US" w:eastAsia="en-US"/>
              </w:rPr>
              <w:t>Indiv</w:t>
            </w:r>
            <w:proofErr w:type="spellEnd"/>
            <w:r w:rsidRPr="001C75AC">
              <w:rPr>
                <w:rFonts w:ascii="Arial" w:hAnsi="Arial" w:cs="Arial"/>
                <w:sz w:val="20"/>
                <w:szCs w:val="20"/>
                <w:lang w:val="en-US" w:eastAsia="en-US"/>
              </w:rPr>
              <w:t>: i</w:t>
            </w:r>
            <w:r w:rsidRPr="00DB35E2">
              <w:rPr>
                <w:rFonts w:ascii="Arial" w:hAnsi="Arial" w:cs="Arial"/>
                <w:sz w:val="20"/>
                <w:szCs w:val="20"/>
                <w:lang w:val="en-US" w:eastAsia="en-US"/>
              </w:rPr>
              <w:t>nverse</w:t>
            </w:r>
          </w:p>
        </w:tc>
      </w:tr>
      <w:tr w:rsidR="00DB35E2" w:rsidRPr="001C75AC" w14:paraId="57E4D32A" w14:textId="77777777" w:rsidTr="001C75AC">
        <w:tc>
          <w:tcPr>
            <w:tcW w:w="3397" w:type="dxa"/>
            <w:hideMark/>
          </w:tcPr>
          <w:p w14:paraId="60286C88" w14:textId="77777777" w:rsidR="00DB35E2" w:rsidRPr="00DB35E2" w:rsidRDefault="00DB35E2" w:rsidP="001C75AC">
            <w:pPr>
              <w:jc w:val="both"/>
              <w:rPr>
                <w:rFonts w:ascii="Arial" w:hAnsi="Arial" w:cs="Arial"/>
                <w:sz w:val="20"/>
                <w:szCs w:val="20"/>
                <w:lang w:val="en-GB" w:eastAsia="en-US"/>
              </w:rPr>
            </w:pPr>
            <w:r w:rsidRPr="00DB35E2">
              <w:rPr>
                <w:rFonts w:ascii="Arial" w:hAnsi="Arial" w:cs="Arial"/>
                <w:sz w:val="20"/>
                <w:szCs w:val="20"/>
                <w:lang w:val="hr-HR" w:eastAsia="en-US"/>
              </w:rPr>
              <w:t>T</w:t>
            </w:r>
            <w:proofErr w:type="spellStart"/>
            <w:r w:rsidRPr="00DB35E2">
              <w:rPr>
                <w:rFonts w:ascii="Arial" w:hAnsi="Arial" w:cs="Arial"/>
                <w:sz w:val="20"/>
                <w:szCs w:val="20"/>
                <w:lang w:val="en-US" w:eastAsia="en-US"/>
              </w:rPr>
              <w:t>ime</w:t>
            </w:r>
            <w:proofErr w:type="spellEnd"/>
            <w:r w:rsidRPr="00DB35E2">
              <w:rPr>
                <w:rFonts w:ascii="Arial" w:hAnsi="Arial" w:cs="Arial"/>
                <w:sz w:val="20"/>
                <w:szCs w:val="20"/>
                <w:lang w:val="en-US" w:eastAsia="en-US"/>
              </w:rPr>
              <w:t xml:space="preserve"> of permanence in breeding sites</w:t>
            </w:r>
          </w:p>
        </w:tc>
        <w:tc>
          <w:tcPr>
            <w:tcW w:w="2552" w:type="dxa"/>
            <w:hideMark/>
          </w:tcPr>
          <w:p w14:paraId="09D89A21" w14:textId="6ADFC8D4"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xml:space="preserve"> (</w:t>
            </w:r>
            <w:r w:rsidRPr="00DB35E2">
              <w:rPr>
                <w:rFonts w:ascii="Arial" w:hAnsi="Arial" w:cs="Arial"/>
                <w:sz w:val="20"/>
                <w:szCs w:val="20"/>
                <w:lang w:val="en-US" w:eastAsia="en-US"/>
              </w:rPr>
              <w:t>aquat</w:t>
            </w:r>
            <w:r w:rsidRPr="001C75AC">
              <w:rPr>
                <w:rFonts w:ascii="Arial" w:hAnsi="Arial" w:cs="Arial"/>
                <w:sz w:val="20"/>
                <w:szCs w:val="20"/>
                <w:lang w:val="en-US" w:eastAsia="en-US"/>
              </w:rPr>
              <w:t>ic</w:t>
            </w:r>
            <w:r w:rsidRPr="00DB35E2">
              <w:rPr>
                <w:rFonts w:ascii="Arial" w:hAnsi="Arial" w:cs="Arial"/>
                <w:sz w:val="20"/>
                <w:szCs w:val="20"/>
                <w:lang w:val="en-US" w:eastAsia="en-US"/>
              </w:rPr>
              <w:t>)</w:t>
            </w:r>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559D9165" w14:textId="60F03A3E" w:rsidR="00DB35E2" w:rsidRPr="00DB35E2" w:rsidRDefault="000A296C"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xml:space="preserve"> (</w:t>
            </w:r>
            <w:r w:rsidRPr="00DB35E2">
              <w:rPr>
                <w:rFonts w:ascii="Arial" w:hAnsi="Arial" w:cs="Arial"/>
                <w:sz w:val="20"/>
                <w:szCs w:val="20"/>
                <w:lang w:val="en-US" w:eastAsia="en-US"/>
              </w:rPr>
              <w:t>aquat</w:t>
            </w:r>
            <w:r w:rsidRPr="001C75AC">
              <w:rPr>
                <w:rFonts w:ascii="Arial" w:hAnsi="Arial" w:cs="Arial"/>
                <w:sz w:val="20"/>
                <w:szCs w:val="20"/>
                <w:lang w:val="en-US" w:eastAsia="en-US"/>
              </w:rPr>
              <w:t>ic</w:t>
            </w:r>
            <w:r w:rsidRPr="00DB35E2">
              <w:rPr>
                <w:rFonts w:ascii="Arial" w:hAnsi="Arial" w:cs="Arial"/>
                <w:sz w:val="20"/>
                <w:szCs w:val="20"/>
                <w:lang w:val="en-US" w:eastAsia="en-US"/>
              </w:rPr>
              <w:t>)</w:t>
            </w:r>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r>
      <w:tr w:rsidR="00DB35E2" w:rsidRPr="001C75AC" w14:paraId="0DDED88C" w14:textId="77777777" w:rsidTr="001C75AC">
        <w:tc>
          <w:tcPr>
            <w:tcW w:w="3397" w:type="dxa"/>
            <w:hideMark/>
          </w:tcPr>
          <w:p w14:paraId="0085C881"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Home range</w:t>
            </w:r>
          </w:p>
        </w:tc>
        <w:tc>
          <w:tcPr>
            <w:tcW w:w="2552" w:type="dxa"/>
            <w:hideMark/>
          </w:tcPr>
          <w:p w14:paraId="2769B2F7" w14:textId="50996A76" w:rsidR="00DB35E2" w:rsidRPr="00DB35E2" w:rsidRDefault="001C75AC" w:rsidP="001C75AC">
            <w:pPr>
              <w:jc w:val="both"/>
              <w:rPr>
                <w:rFonts w:ascii="Arial" w:hAnsi="Arial" w:cs="Arial"/>
                <w:sz w:val="20"/>
                <w:szCs w:val="20"/>
                <w:lang w:val="es-ES" w:eastAsia="en-US"/>
              </w:rPr>
            </w:pPr>
            <w:r w:rsidRPr="001C75AC">
              <w:rPr>
                <w:rFonts w:ascii="Arial" w:hAnsi="Arial" w:cs="Arial"/>
                <w:sz w:val="20"/>
                <w:szCs w:val="20"/>
                <w:lang w:val="en-US" w:eastAsia="en-US"/>
              </w:rPr>
              <w:t xml:space="preserve">Pop and </w:t>
            </w:r>
            <w:proofErr w:type="spellStart"/>
            <w:r w:rsidRPr="001C75AC">
              <w:rPr>
                <w:rFonts w:ascii="Arial" w:hAnsi="Arial" w:cs="Arial"/>
                <w:sz w:val="20"/>
                <w:szCs w:val="20"/>
                <w:lang w:val="en-US" w:eastAsia="en-US"/>
              </w:rPr>
              <w:t>Indiv</w:t>
            </w:r>
            <w:proofErr w:type="spellEnd"/>
            <w:r w:rsidRPr="001C75AC">
              <w:rPr>
                <w:rFonts w:ascii="Arial" w:hAnsi="Arial" w:cs="Arial"/>
                <w:sz w:val="20"/>
                <w:szCs w:val="20"/>
                <w:lang w:val="en-US" w:eastAsia="en-US"/>
              </w:rPr>
              <w:t>: i</w:t>
            </w:r>
            <w:r w:rsidRPr="00DB35E2">
              <w:rPr>
                <w:rFonts w:ascii="Arial" w:hAnsi="Arial" w:cs="Arial"/>
                <w:sz w:val="20"/>
                <w:szCs w:val="20"/>
                <w:lang w:val="en-US" w:eastAsia="en-US"/>
              </w:rPr>
              <w:t>nverse</w:t>
            </w:r>
          </w:p>
        </w:tc>
        <w:tc>
          <w:tcPr>
            <w:tcW w:w="2551" w:type="dxa"/>
            <w:hideMark/>
          </w:tcPr>
          <w:p w14:paraId="1D0366C1" w14:textId="207BA40A" w:rsidR="00DB35E2" w:rsidRPr="00DB35E2" w:rsidRDefault="001C75AC" w:rsidP="001C75AC">
            <w:pPr>
              <w:jc w:val="both"/>
              <w:rPr>
                <w:rFonts w:ascii="Arial" w:hAnsi="Arial" w:cs="Arial"/>
                <w:sz w:val="20"/>
                <w:szCs w:val="20"/>
                <w:lang w:val="es-ES" w:eastAsia="en-US"/>
              </w:rPr>
            </w:pPr>
            <w:r w:rsidRPr="001C75AC">
              <w:rPr>
                <w:rFonts w:ascii="Arial" w:hAnsi="Arial" w:cs="Arial"/>
                <w:sz w:val="20"/>
                <w:szCs w:val="20"/>
                <w:lang w:val="en-US" w:eastAsia="en-US"/>
              </w:rPr>
              <w:t xml:space="preserve">Pop and </w:t>
            </w:r>
            <w:proofErr w:type="spellStart"/>
            <w:r w:rsidRPr="001C75AC">
              <w:rPr>
                <w:rFonts w:ascii="Arial" w:hAnsi="Arial" w:cs="Arial"/>
                <w:sz w:val="20"/>
                <w:szCs w:val="20"/>
                <w:lang w:val="en-US" w:eastAsia="en-US"/>
              </w:rPr>
              <w:t>Indiv</w:t>
            </w:r>
            <w:proofErr w:type="spellEnd"/>
            <w:r w:rsidRPr="001C75AC">
              <w:rPr>
                <w:rFonts w:ascii="Arial" w:hAnsi="Arial" w:cs="Arial"/>
                <w:sz w:val="20"/>
                <w:szCs w:val="20"/>
                <w:lang w:val="en-US" w:eastAsia="en-US"/>
              </w:rPr>
              <w:t>: i</w:t>
            </w:r>
            <w:r w:rsidRPr="00DB35E2">
              <w:rPr>
                <w:rFonts w:ascii="Arial" w:hAnsi="Arial" w:cs="Arial"/>
                <w:sz w:val="20"/>
                <w:szCs w:val="20"/>
                <w:lang w:val="en-US" w:eastAsia="en-US"/>
              </w:rPr>
              <w:t>nverse</w:t>
            </w:r>
          </w:p>
        </w:tc>
      </w:tr>
      <w:tr w:rsidR="00DB35E2" w:rsidRPr="001C75AC" w14:paraId="1452EAB8" w14:textId="77777777" w:rsidTr="001C75AC">
        <w:tc>
          <w:tcPr>
            <w:tcW w:w="3397" w:type="dxa"/>
            <w:hideMark/>
          </w:tcPr>
          <w:p w14:paraId="392636DC"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Migration and dispersal distance</w:t>
            </w:r>
          </w:p>
        </w:tc>
        <w:tc>
          <w:tcPr>
            <w:tcW w:w="2552" w:type="dxa"/>
            <w:hideMark/>
          </w:tcPr>
          <w:p w14:paraId="0A135667" w14:textId="52FAB294"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22E65954" w14:textId="048C0A34" w:rsidR="00DB35E2" w:rsidRPr="00DB35E2" w:rsidRDefault="001C75AC"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r>
      <w:tr w:rsidR="00DB35E2" w:rsidRPr="001C75AC" w14:paraId="510D91F5" w14:textId="77777777" w:rsidTr="001C75AC">
        <w:tc>
          <w:tcPr>
            <w:tcW w:w="3397" w:type="dxa"/>
            <w:hideMark/>
          </w:tcPr>
          <w:p w14:paraId="4C036398"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Distance travelled per day</w:t>
            </w:r>
          </w:p>
        </w:tc>
        <w:tc>
          <w:tcPr>
            <w:tcW w:w="2552" w:type="dxa"/>
            <w:hideMark/>
          </w:tcPr>
          <w:p w14:paraId="39109463" w14:textId="65C800B5"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inverse</w:t>
            </w:r>
          </w:p>
        </w:tc>
        <w:tc>
          <w:tcPr>
            <w:tcW w:w="2551" w:type="dxa"/>
            <w:hideMark/>
          </w:tcPr>
          <w:p w14:paraId="4C196F75" w14:textId="2613F8DB"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inverse</w:t>
            </w:r>
          </w:p>
        </w:tc>
      </w:tr>
      <w:tr w:rsidR="00DB35E2" w:rsidRPr="001C75AC" w14:paraId="563611C3" w14:textId="77777777" w:rsidTr="001C75AC">
        <w:tc>
          <w:tcPr>
            <w:tcW w:w="3397" w:type="dxa"/>
            <w:hideMark/>
          </w:tcPr>
          <w:p w14:paraId="10A542DE"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Migrating / dispersing time</w:t>
            </w:r>
          </w:p>
        </w:tc>
        <w:tc>
          <w:tcPr>
            <w:tcW w:w="2552" w:type="dxa"/>
            <w:hideMark/>
          </w:tcPr>
          <w:p w14:paraId="2F02F07A" w14:textId="1FAA29C2" w:rsidR="00DB35E2" w:rsidRPr="00DB35E2" w:rsidRDefault="001C75AC"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1ED04A25" w14:textId="37D588B6" w:rsidR="00DB35E2" w:rsidRPr="00DB35E2" w:rsidRDefault="001C75AC" w:rsidP="001C75AC">
            <w:pPr>
              <w:jc w:val="both"/>
              <w:rPr>
                <w:rFonts w:ascii="Arial" w:hAnsi="Arial" w:cs="Arial"/>
                <w:sz w:val="20"/>
                <w:szCs w:val="20"/>
                <w:lang w:val="en-U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r>
      <w:tr w:rsidR="00DB35E2" w:rsidRPr="001C75AC" w14:paraId="70544AFF" w14:textId="77777777" w:rsidTr="001C75AC">
        <w:tc>
          <w:tcPr>
            <w:tcW w:w="3397" w:type="dxa"/>
            <w:hideMark/>
          </w:tcPr>
          <w:p w14:paraId="735458B4" w14:textId="77777777" w:rsidR="00DB35E2" w:rsidRPr="00DB35E2" w:rsidRDefault="00DB35E2" w:rsidP="001C75AC">
            <w:pPr>
              <w:jc w:val="both"/>
              <w:rPr>
                <w:rFonts w:ascii="Arial" w:hAnsi="Arial" w:cs="Arial"/>
                <w:sz w:val="20"/>
                <w:szCs w:val="20"/>
                <w:lang w:val="en-GB" w:eastAsia="en-US"/>
              </w:rPr>
            </w:pPr>
            <w:r w:rsidRPr="00DB35E2">
              <w:rPr>
                <w:rFonts w:ascii="Arial" w:hAnsi="Arial" w:cs="Arial"/>
                <w:sz w:val="20"/>
                <w:szCs w:val="20"/>
                <w:lang w:val="hr-HR" w:eastAsia="en-US"/>
              </w:rPr>
              <w:t>Daily FIR / Daily energetic expenditure</w:t>
            </w:r>
          </w:p>
        </w:tc>
        <w:tc>
          <w:tcPr>
            <w:tcW w:w="2552" w:type="dxa"/>
            <w:hideMark/>
          </w:tcPr>
          <w:p w14:paraId="05DBDCB1" w14:textId="2702F3BF"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5EAE29F9" w14:textId="3BFCAC71"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r>
      <w:tr w:rsidR="001C75AC" w:rsidRPr="001C75AC" w14:paraId="0A765134" w14:textId="77777777" w:rsidTr="001C75AC">
        <w:tc>
          <w:tcPr>
            <w:tcW w:w="3397" w:type="dxa"/>
            <w:hideMark/>
          </w:tcPr>
          <w:p w14:paraId="6CCDFBD7"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Metabolic rate</w:t>
            </w:r>
          </w:p>
        </w:tc>
        <w:tc>
          <w:tcPr>
            <w:tcW w:w="2552" w:type="dxa"/>
            <w:hideMark/>
          </w:tcPr>
          <w:p w14:paraId="354353D4"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Depends on the product</w:t>
            </w:r>
          </w:p>
        </w:tc>
        <w:tc>
          <w:tcPr>
            <w:tcW w:w="2551" w:type="dxa"/>
            <w:hideMark/>
          </w:tcPr>
          <w:p w14:paraId="72F3B511" w14:textId="77777777" w:rsidR="00DB35E2" w:rsidRPr="00DB35E2" w:rsidRDefault="00DB35E2" w:rsidP="001C75AC">
            <w:pPr>
              <w:jc w:val="both"/>
              <w:rPr>
                <w:rFonts w:ascii="Arial" w:hAnsi="Arial" w:cs="Arial"/>
                <w:sz w:val="20"/>
                <w:szCs w:val="20"/>
                <w:lang w:val="es-ES" w:eastAsia="en-US"/>
              </w:rPr>
            </w:pPr>
          </w:p>
        </w:tc>
      </w:tr>
      <w:tr w:rsidR="00DB35E2" w:rsidRPr="001C75AC" w14:paraId="7CD38A6C" w14:textId="77777777" w:rsidTr="001C75AC">
        <w:tc>
          <w:tcPr>
            <w:tcW w:w="3397" w:type="dxa"/>
            <w:hideMark/>
          </w:tcPr>
          <w:p w14:paraId="7815ED76"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Assimilation efficiency</w:t>
            </w:r>
          </w:p>
        </w:tc>
        <w:tc>
          <w:tcPr>
            <w:tcW w:w="2552" w:type="dxa"/>
            <w:hideMark/>
          </w:tcPr>
          <w:p w14:paraId="7C43C332" w14:textId="5951CD86"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4EA454C4" w14:textId="2FD0B957"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r>
      <w:tr w:rsidR="00DB35E2" w:rsidRPr="001C75AC" w14:paraId="66A6D917" w14:textId="77777777" w:rsidTr="001C75AC">
        <w:tc>
          <w:tcPr>
            <w:tcW w:w="3397" w:type="dxa"/>
            <w:hideMark/>
          </w:tcPr>
          <w:p w14:paraId="5A723EB4" w14:textId="77777777" w:rsidR="00DB35E2" w:rsidRPr="00DB35E2" w:rsidRDefault="00DB35E2" w:rsidP="001C75AC">
            <w:pPr>
              <w:jc w:val="both"/>
              <w:rPr>
                <w:rFonts w:ascii="Arial" w:hAnsi="Arial" w:cs="Arial"/>
                <w:sz w:val="20"/>
                <w:szCs w:val="20"/>
                <w:lang w:val="es-ES" w:eastAsia="en-US"/>
              </w:rPr>
            </w:pPr>
            <w:r w:rsidRPr="00DB35E2">
              <w:rPr>
                <w:rFonts w:ascii="Arial" w:hAnsi="Arial" w:cs="Arial"/>
                <w:sz w:val="20"/>
                <w:szCs w:val="20"/>
                <w:lang w:val="hr-HR" w:eastAsia="en-US"/>
              </w:rPr>
              <w:t>Dermal absorption rate</w:t>
            </w:r>
          </w:p>
        </w:tc>
        <w:tc>
          <w:tcPr>
            <w:tcW w:w="2552" w:type="dxa"/>
            <w:hideMark/>
          </w:tcPr>
          <w:p w14:paraId="6BDC67C3" w14:textId="54F7E8B7"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c>
          <w:tcPr>
            <w:tcW w:w="2551" w:type="dxa"/>
            <w:hideMark/>
          </w:tcPr>
          <w:p w14:paraId="0185A505" w14:textId="4B0B2EEE" w:rsidR="00DB35E2" w:rsidRPr="00DB35E2" w:rsidRDefault="001C75AC" w:rsidP="001C75AC">
            <w:pPr>
              <w:jc w:val="both"/>
              <w:rPr>
                <w:rFonts w:ascii="Arial" w:hAnsi="Arial" w:cs="Arial"/>
                <w:sz w:val="20"/>
                <w:szCs w:val="20"/>
                <w:lang w:val="es-ES" w:eastAsia="en-US"/>
              </w:rPr>
            </w:pPr>
            <w:proofErr w:type="spellStart"/>
            <w:r w:rsidRPr="001C75AC">
              <w:rPr>
                <w:rFonts w:ascii="Arial" w:hAnsi="Arial" w:cs="Arial"/>
                <w:sz w:val="20"/>
                <w:szCs w:val="20"/>
                <w:lang w:val="en-US" w:eastAsia="en-US"/>
              </w:rPr>
              <w:t>I</w:t>
            </w:r>
            <w:r w:rsidRPr="00DB35E2">
              <w:rPr>
                <w:rFonts w:ascii="Arial" w:hAnsi="Arial" w:cs="Arial"/>
                <w:sz w:val="20"/>
                <w:szCs w:val="20"/>
                <w:lang w:val="en-US" w:eastAsia="en-US"/>
              </w:rPr>
              <w:t>nd</w:t>
            </w:r>
            <w:r w:rsidRPr="001C75AC">
              <w:rPr>
                <w:rFonts w:ascii="Arial" w:hAnsi="Arial" w:cs="Arial"/>
                <w:sz w:val="20"/>
                <w:szCs w:val="20"/>
                <w:lang w:val="en-US" w:eastAsia="en-US"/>
              </w:rPr>
              <w:t>iv</w:t>
            </w:r>
            <w:proofErr w:type="spellEnd"/>
            <w:r w:rsidRPr="001C75AC">
              <w:rPr>
                <w:rFonts w:ascii="Arial" w:hAnsi="Arial" w:cs="Arial"/>
                <w:sz w:val="20"/>
                <w:szCs w:val="20"/>
                <w:lang w:val="en-US" w:eastAsia="en-US"/>
              </w:rPr>
              <w:t>: d</w:t>
            </w:r>
            <w:r w:rsidRPr="00DB35E2">
              <w:rPr>
                <w:rFonts w:ascii="Arial" w:hAnsi="Arial" w:cs="Arial"/>
                <w:sz w:val="20"/>
                <w:szCs w:val="20"/>
                <w:lang w:val="en-US" w:eastAsia="en-US"/>
              </w:rPr>
              <w:t>irect</w:t>
            </w:r>
          </w:p>
        </w:tc>
      </w:tr>
      <w:tr w:rsidR="001C75AC" w:rsidRPr="001C75AC" w14:paraId="20D5FE8E" w14:textId="77777777" w:rsidTr="001C75AC">
        <w:tc>
          <w:tcPr>
            <w:tcW w:w="3397" w:type="dxa"/>
            <w:hideMark/>
          </w:tcPr>
          <w:p w14:paraId="29E325FE" w14:textId="77777777" w:rsidR="00DB35E2" w:rsidRPr="00DB35E2" w:rsidRDefault="00DB35E2" w:rsidP="001C75AC">
            <w:pPr>
              <w:rPr>
                <w:rFonts w:ascii="Arial" w:hAnsi="Arial" w:cs="Arial"/>
                <w:sz w:val="20"/>
                <w:szCs w:val="20"/>
                <w:lang w:val="en-GB" w:eastAsia="en-US"/>
              </w:rPr>
            </w:pPr>
            <w:r w:rsidRPr="00DB35E2">
              <w:rPr>
                <w:rFonts w:ascii="Arial" w:hAnsi="Arial" w:cs="Arial"/>
                <w:sz w:val="20"/>
                <w:szCs w:val="20"/>
                <w:lang w:val="hr-HR" w:eastAsia="en-US"/>
              </w:rPr>
              <w:t>Phenology (early/late breeders, time of emergence)</w:t>
            </w:r>
          </w:p>
        </w:tc>
        <w:tc>
          <w:tcPr>
            <w:tcW w:w="2552" w:type="dxa"/>
            <w:hideMark/>
          </w:tcPr>
          <w:p w14:paraId="0A354490" w14:textId="77777777" w:rsidR="00DB35E2" w:rsidRPr="00DB35E2" w:rsidRDefault="00DB35E2" w:rsidP="001C75AC">
            <w:pPr>
              <w:jc w:val="both"/>
              <w:rPr>
                <w:rFonts w:ascii="Arial" w:hAnsi="Arial" w:cs="Arial"/>
                <w:sz w:val="20"/>
                <w:szCs w:val="20"/>
                <w:lang w:val="en-GB" w:eastAsia="en-US"/>
              </w:rPr>
            </w:pPr>
            <w:r w:rsidRPr="00DB35E2">
              <w:rPr>
                <w:rFonts w:ascii="Arial" w:hAnsi="Arial" w:cs="Arial"/>
                <w:sz w:val="20"/>
                <w:szCs w:val="20"/>
                <w:lang w:val="hr-HR" w:eastAsia="en-US"/>
              </w:rPr>
              <w:t>Case by case, depends on the region, crop, etc.</w:t>
            </w:r>
          </w:p>
        </w:tc>
        <w:tc>
          <w:tcPr>
            <w:tcW w:w="2551" w:type="dxa"/>
            <w:hideMark/>
          </w:tcPr>
          <w:p w14:paraId="38940023" w14:textId="77777777" w:rsidR="00DB35E2" w:rsidRPr="00DB35E2" w:rsidRDefault="00DB35E2" w:rsidP="001C75AC">
            <w:pPr>
              <w:jc w:val="both"/>
              <w:rPr>
                <w:rFonts w:ascii="Arial" w:hAnsi="Arial" w:cs="Arial"/>
                <w:sz w:val="20"/>
                <w:szCs w:val="20"/>
                <w:lang w:val="en-GB" w:eastAsia="en-US"/>
              </w:rPr>
            </w:pPr>
          </w:p>
        </w:tc>
      </w:tr>
    </w:tbl>
    <w:p w14:paraId="17D5FDDF" w14:textId="77777777" w:rsidR="0043296C" w:rsidRDefault="0043296C" w:rsidP="00963817">
      <w:pPr>
        <w:spacing w:after="120" w:line="260" w:lineRule="atLeast"/>
        <w:jc w:val="both"/>
        <w:rPr>
          <w:rFonts w:ascii="Arial" w:eastAsiaTheme="minorHAnsi" w:hAnsi="Arial" w:cstheme="minorBidi"/>
          <w:sz w:val="20"/>
          <w:szCs w:val="24"/>
          <w:lang w:val="en-GB" w:eastAsia="en-US"/>
        </w:rPr>
      </w:pPr>
    </w:p>
    <w:p w14:paraId="6CB2707C" w14:textId="548F7EAC" w:rsidR="00915C5C" w:rsidRPr="00915C5C" w:rsidRDefault="00915C5C" w:rsidP="00915C5C">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This list should be used to </w:t>
      </w:r>
      <w:r w:rsidR="00625F65">
        <w:rPr>
          <w:rFonts w:ascii="Arial" w:eastAsiaTheme="minorHAnsi" w:hAnsi="Arial" w:cstheme="minorBidi"/>
          <w:sz w:val="20"/>
          <w:szCs w:val="24"/>
          <w:lang w:val="en-GB" w:eastAsia="en-US"/>
        </w:rPr>
        <w:t xml:space="preserve">build the indicator species (an </w:t>
      </w:r>
      <w:r w:rsidRPr="00915C5C">
        <w:rPr>
          <w:rFonts w:ascii="Arial" w:eastAsiaTheme="minorHAnsi" w:hAnsi="Arial" w:cstheme="minorBidi"/>
          <w:sz w:val="20"/>
          <w:szCs w:val="24"/>
          <w:lang w:val="en-GB" w:eastAsia="en-US"/>
        </w:rPr>
        <w:t>unreal species</w:t>
      </w:r>
      <w:r w:rsidR="00625F65">
        <w:rPr>
          <w:rFonts w:ascii="Arial" w:eastAsiaTheme="minorHAnsi" w:hAnsi="Arial" w:cstheme="minorBidi"/>
          <w:sz w:val="20"/>
          <w:szCs w:val="24"/>
          <w:lang w:val="en-GB" w:eastAsia="en-US"/>
        </w:rPr>
        <w:t xml:space="preserve"> that combines those traits leading to highest susceptibility), to be used in the low tiers of the risk assessment. For the focal species, </w:t>
      </w:r>
      <w:r w:rsidR="008D1153">
        <w:rPr>
          <w:rFonts w:ascii="Arial" w:eastAsiaTheme="minorHAnsi" w:hAnsi="Arial" w:cstheme="minorBidi"/>
          <w:sz w:val="20"/>
          <w:szCs w:val="24"/>
          <w:lang w:val="en-GB" w:eastAsia="en-US"/>
        </w:rPr>
        <w:t>fields studies should support the choice, as the focal species needs to be present in the fields of relevance. Then, the traits should serve to choose among those species that occur in the crops. In general, it is encouraged to focus on traits rather than on species.</w:t>
      </w:r>
    </w:p>
    <w:p w14:paraId="3D92CF2D" w14:textId="0583DBCB" w:rsidR="003846A5" w:rsidRDefault="0043296C" w:rsidP="00915C5C">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ecotoxicology group went through the different steps of the fit-for-purpose risk assessment. It was agreed that Specific Protection Goals proposed by the EFSA Scientific Opinion (individual survival and population persistence) could be adopted. </w:t>
      </w:r>
      <w:r w:rsidR="003846A5">
        <w:rPr>
          <w:rFonts w:ascii="Arial" w:eastAsiaTheme="minorHAnsi" w:hAnsi="Arial" w:cstheme="minorBidi"/>
          <w:sz w:val="20"/>
          <w:szCs w:val="24"/>
          <w:lang w:val="en-GB" w:eastAsia="en-US"/>
        </w:rPr>
        <w:t xml:space="preserve">The exposure assessment was discussed </w:t>
      </w:r>
      <w:r w:rsidR="003846A5">
        <w:rPr>
          <w:rFonts w:ascii="Arial" w:eastAsiaTheme="minorHAnsi" w:hAnsi="Arial" w:cstheme="minorBidi"/>
          <w:sz w:val="20"/>
          <w:szCs w:val="24"/>
          <w:lang w:val="en-GB" w:eastAsia="en-US"/>
        </w:rPr>
        <w:lastRenderedPageBreak/>
        <w:t xml:space="preserve">in relation to routes whose consideration has not been sufficiently addressed, including sediment uptake (for hydrophobic substances) and maternal transfer. The </w:t>
      </w:r>
      <w:r w:rsidR="00A15257">
        <w:rPr>
          <w:rFonts w:ascii="Arial" w:eastAsiaTheme="minorHAnsi" w:hAnsi="Arial" w:cstheme="minorBidi"/>
          <w:sz w:val="20"/>
          <w:szCs w:val="24"/>
          <w:lang w:val="en-GB" w:eastAsia="en-US"/>
        </w:rPr>
        <w:t xml:space="preserve">extrapolation of toxicological data </w:t>
      </w:r>
      <w:r w:rsidR="00FE0966">
        <w:rPr>
          <w:rFonts w:ascii="Arial" w:eastAsiaTheme="minorHAnsi" w:hAnsi="Arial" w:cstheme="minorBidi"/>
          <w:sz w:val="20"/>
          <w:szCs w:val="24"/>
          <w:lang w:val="en-GB" w:eastAsia="en-US"/>
        </w:rPr>
        <w:t xml:space="preserve">for terrestrial stages </w:t>
      </w:r>
      <w:r w:rsidR="00A15257">
        <w:rPr>
          <w:rFonts w:ascii="Arial" w:eastAsiaTheme="minorHAnsi" w:hAnsi="Arial" w:cstheme="minorBidi"/>
          <w:sz w:val="20"/>
          <w:szCs w:val="24"/>
          <w:lang w:val="en-GB" w:eastAsia="en-US"/>
        </w:rPr>
        <w:t xml:space="preserve">leads to two different outcomes; the review work by Ortiz-Santaliestra et al. (2018) </w:t>
      </w:r>
      <w:r w:rsidR="00FE0966">
        <w:rPr>
          <w:rFonts w:ascii="Arial" w:eastAsiaTheme="minorHAnsi" w:hAnsi="Arial" w:cstheme="minorBidi"/>
          <w:sz w:val="20"/>
          <w:szCs w:val="24"/>
          <w:lang w:val="en-GB" w:eastAsia="en-US"/>
        </w:rPr>
        <w:t xml:space="preserve">suggests that at least an assessment factor of 100 would be needed to cover those substance like pyrethroid insecticides that are much more toxic to amphibians or reptiles than to birds of mammals. The work by Crane et al. (2017) </w:t>
      </w:r>
      <w:r w:rsidR="00711A26">
        <w:rPr>
          <w:rFonts w:ascii="Arial" w:eastAsiaTheme="minorHAnsi" w:hAnsi="Arial" w:cstheme="minorBidi"/>
          <w:sz w:val="20"/>
          <w:szCs w:val="24"/>
          <w:lang w:val="en-GB" w:eastAsia="en-US"/>
        </w:rPr>
        <w:t>suggests that the current assessment factor of 10 would be enough. It is agreed that a deeper analysis of the data is necessary to conclude on the assessment factors for terrestrial stages.</w:t>
      </w:r>
      <w:r w:rsidR="00A15257">
        <w:rPr>
          <w:rFonts w:ascii="Arial" w:eastAsiaTheme="minorHAnsi" w:hAnsi="Arial" w:cstheme="minorBidi"/>
          <w:sz w:val="20"/>
          <w:szCs w:val="24"/>
          <w:lang w:val="en-GB" w:eastAsia="en-US"/>
        </w:rPr>
        <w:t xml:space="preserve"> </w:t>
      </w:r>
    </w:p>
    <w:p w14:paraId="332ECC1B" w14:textId="77777777" w:rsidR="00800360" w:rsidRPr="002B7B3C" w:rsidRDefault="00800360" w:rsidP="002B7B3C">
      <w:pPr>
        <w:rPr>
          <w:rFonts w:ascii="Arial" w:eastAsiaTheme="minorHAnsi" w:hAnsi="Arial" w:cstheme="minorBidi"/>
          <w:b/>
          <w:sz w:val="20"/>
          <w:szCs w:val="24"/>
          <w:lang w:val="en-GB" w:eastAsia="en-US"/>
        </w:rPr>
      </w:pPr>
    </w:p>
    <w:p w14:paraId="723237B1" w14:textId="64FF02FF" w:rsidR="003D3FBC" w:rsidRPr="00FB5060" w:rsidRDefault="002B7B3C" w:rsidP="002F6D10">
      <w:pPr>
        <w:pStyle w:val="Prrafodelista"/>
        <w:numPr>
          <w:ilvl w:val="0"/>
          <w:numId w:val="10"/>
        </w:numPr>
        <w:jc w:val="both"/>
        <w:rPr>
          <w:rFonts w:ascii="Arial" w:eastAsiaTheme="minorHAnsi" w:hAnsi="Arial" w:cstheme="minorBidi"/>
          <w:b/>
          <w:sz w:val="20"/>
          <w:szCs w:val="24"/>
          <w:lang w:val="en-GB" w:eastAsia="en-US"/>
        </w:rPr>
      </w:pPr>
      <w:r>
        <w:rPr>
          <w:rFonts w:ascii="Arial" w:eastAsiaTheme="minorHAnsi" w:hAnsi="Arial" w:cstheme="minorBidi"/>
          <w:b/>
          <w:sz w:val="20"/>
          <w:szCs w:val="24"/>
          <w:lang w:val="en-GB" w:eastAsia="en-US"/>
        </w:rPr>
        <w:t>Closing</w:t>
      </w:r>
    </w:p>
    <w:p w14:paraId="355DFFFC" w14:textId="1389F8D2" w:rsidR="003D3FBC" w:rsidRPr="00E303A5" w:rsidRDefault="00BC6865" w:rsidP="00E303A5">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The contribution of all participants is acknowledged.</w:t>
      </w:r>
      <w:r w:rsidR="0064476B">
        <w:rPr>
          <w:rFonts w:ascii="Arial" w:eastAsiaTheme="minorHAnsi" w:hAnsi="Arial" w:cstheme="minorBidi"/>
          <w:sz w:val="20"/>
          <w:szCs w:val="24"/>
          <w:lang w:val="en-GB" w:eastAsia="en-US"/>
        </w:rPr>
        <w:t xml:space="preserve"> The participants thank </w:t>
      </w:r>
      <w:r w:rsidR="000560BE">
        <w:rPr>
          <w:rFonts w:ascii="Arial" w:eastAsiaTheme="minorHAnsi" w:hAnsi="Arial" w:cstheme="minorBidi"/>
          <w:sz w:val="20"/>
          <w:szCs w:val="24"/>
          <w:lang w:val="en-GB" w:eastAsia="en-US"/>
        </w:rPr>
        <w:t>Olga Jovano</w:t>
      </w:r>
      <w:r w:rsidR="004D021B">
        <w:rPr>
          <w:rFonts w:ascii="Arial" w:eastAsiaTheme="minorHAnsi" w:hAnsi="Arial" w:cstheme="minorBidi"/>
          <w:sz w:val="20"/>
          <w:szCs w:val="24"/>
          <w:lang w:val="en-GB" w:eastAsia="en-US"/>
        </w:rPr>
        <w:t>vic-Glavas and the University of Osijek fo</w:t>
      </w:r>
      <w:r w:rsidR="0064476B">
        <w:rPr>
          <w:rFonts w:ascii="Arial" w:eastAsiaTheme="minorHAnsi" w:hAnsi="Arial" w:cstheme="minorBidi"/>
          <w:sz w:val="20"/>
          <w:szCs w:val="24"/>
          <w:lang w:val="en-GB" w:eastAsia="en-US"/>
        </w:rPr>
        <w:t>r hosting the meeting.</w:t>
      </w:r>
    </w:p>
    <w:p w14:paraId="3EDA1017" w14:textId="77777777" w:rsidR="0078398A" w:rsidRDefault="0078398A" w:rsidP="009511FF">
      <w:pPr>
        <w:pStyle w:val="Numberedlist"/>
        <w:numPr>
          <w:ilvl w:val="0"/>
          <w:numId w:val="0"/>
        </w:numPr>
        <w:rPr>
          <w:b/>
          <w:color w:val="auto"/>
        </w:rPr>
      </w:pPr>
      <w:r>
        <w:rPr>
          <w:b/>
          <w:color w:val="auto"/>
        </w:rPr>
        <w:br w:type="page"/>
      </w:r>
    </w:p>
    <w:p w14:paraId="4EA82795" w14:textId="77777777" w:rsidR="0078398A" w:rsidRPr="00CE0D4C" w:rsidRDefault="0078398A" w:rsidP="0078398A">
      <w:pPr>
        <w:pStyle w:val="Ttulo2"/>
      </w:pPr>
      <w:r w:rsidRPr="00CE0D4C">
        <w:lastRenderedPageBreak/>
        <w:t>LIST OF ANNEXES</w:t>
      </w:r>
    </w:p>
    <w:p w14:paraId="2403682E" w14:textId="77777777" w:rsidR="0078398A" w:rsidRPr="00410D1E" w:rsidRDefault="0078398A" w:rsidP="0078398A">
      <w:pPr>
        <w:rPr>
          <w:b/>
        </w:rPr>
      </w:pPr>
    </w:p>
    <w:p w14:paraId="31C07983" w14:textId="77777777" w:rsidR="0078398A" w:rsidRDefault="0078398A" w:rsidP="0078398A">
      <w:pPr>
        <w:rPr>
          <w:b/>
        </w:rPr>
      </w:pPr>
      <w:r w:rsidRPr="00410D1E">
        <w:rPr>
          <w:b/>
        </w:rPr>
        <w:t xml:space="preserve">Annex 1 – </w:t>
      </w:r>
      <w:r w:rsidRPr="0078398A">
        <w:rPr>
          <w:b/>
        </w:rPr>
        <w:t>Attendance List</w:t>
      </w:r>
    </w:p>
    <w:p w14:paraId="38B0ABC9" w14:textId="45AD4BE1" w:rsidR="00BA5078" w:rsidRPr="00CF6C48" w:rsidRDefault="008B5EBF" w:rsidP="009511FF">
      <w:pPr>
        <w:pStyle w:val="Numberedlist"/>
        <w:numPr>
          <w:ilvl w:val="0"/>
          <w:numId w:val="0"/>
        </w:numPr>
        <w:rPr>
          <w:b/>
          <w:color w:val="auto"/>
        </w:rPr>
      </w:pPr>
      <w:r>
        <w:rPr>
          <w:b/>
          <w:color w:val="auto"/>
        </w:rPr>
        <w:object w:dxaOrig="1473" w:dyaOrig="970" w14:anchorId="2D857511">
          <v:shape id="_x0000_i1030" type="#_x0000_t75" style="width:73.75pt;height:48.5pt" o:ole="">
            <v:imagedata r:id="rId8" o:title=""/>
          </v:shape>
          <o:OLEObject Type="Embed" ProgID="AcroExch.Document.DC" ShapeID="_x0000_i1030" DrawAspect="Icon" ObjectID="_1759401715" r:id="rId9"/>
        </w:object>
      </w:r>
    </w:p>
    <w:sectPr w:rsidR="00BA5078" w:rsidRPr="00CF6C48" w:rsidSect="00C77A92">
      <w:headerReference w:type="default" r:id="rId10"/>
      <w:footerReference w:type="default" r:id="rId11"/>
      <w:headerReference w:type="first" r:id="rId12"/>
      <w:footerReference w:type="first" r:id="rId13"/>
      <w:pgSz w:w="11907" w:h="16840"/>
      <w:pgMar w:top="2422" w:right="1701" w:bottom="1417" w:left="1701"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1344" w14:textId="77777777" w:rsidR="00F84911" w:rsidRDefault="00F84911">
      <w:pPr>
        <w:spacing w:after="0" w:line="240" w:lineRule="auto"/>
      </w:pPr>
      <w:r>
        <w:separator/>
      </w:r>
    </w:p>
  </w:endnote>
  <w:endnote w:type="continuationSeparator" w:id="0">
    <w:p w14:paraId="7E487467" w14:textId="77777777" w:rsidR="00F84911" w:rsidRDefault="00F8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2964" w14:textId="2BB581B3" w:rsidR="00ED37F1" w:rsidRDefault="00ED37F1">
    <w:pPr>
      <w:pStyle w:val="Piedepgina"/>
    </w:pPr>
    <w:r>
      <w:rPr>
        <w:noProof/>
      </w:rPr>
      <w:drawing>
        <wp:inline distT="0" distB="0" distL="0" distR="0" wp14:anchorId="6D3D757C" wp14:editId="69D1157F">
          <wp:extent cx="1645680" cy="345196"/>
          <wp:effectExtent l="0" t="0" r="0" b="0"/>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577" cy="35545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FA20" w14:textId="1A84601F" w:rsidR="0078398A" w:rsidRDefault="00ED37F1">
    <w:pPr>
      <w:pStyle w:val="Piedepgina"/>
    </w:pPr>
    <w:r>
      <w:rPr>
        <w:noProof/>
      </w:rPr>
      <w:drawing>
        <wp:inline distT="0" distB="0" distL="0" distR="0" wp14:anchorId="5C00C62E" wp14:editId="7AD565BD">
          <wp:extent cx="1645680" cy="345196"/>
          <wp:effectExtent l="0" t="0" r="0" b="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577" cy="3554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E873" w14:textId="77777777" w:rsidR="00F84911" w:rsidRDefault="00F84911">
      <w:pPr>
        <w:spacing w:after="0" w:line="240" w:lineRule="auto"/>
      </w:pPr>
      <w:r>
        <w:separator/>
      </w:r>
    </w:p>
  </w:footnote>
  <w:footnote w:type="continuationSeparator" w:id="0">
    <w:p w14:paraId="6B936738" w14:textId="77777777" w:rsidR="00F84911" w:rsidRDefault="00F8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B5B8" w14:textId="77777777" w:rsidR="0078398A" w:rsidRDefault="0078398A">
    <w:pPr>
      <w:widowControl w:val="0"/>
      <w:autoSpaceDE w:val="0"/>
      <w:autoSpaceDN w:val="0"/>
      <w:adjustRightInd w:val="0"/>
      <w:spacing w:after="0" w:line="240" w:lineRule="auto"/>
      <w:jc w:val="center"/>
      <w:rPr>
        <w:rFonts w:ascii="Arial" w:hAnsi="Arial" w:cs="Arial"/>
        <w:sz w:val="20"/>
        <w:szCs w:val="20"/>
      </w:rPr>
    </w:pPr>
    <w:r>
      <w:rPr>
        <w:noProof/>
        <w:lang w:val="es-ES" w:eastAsia="es-ES"/>
      </w:rPr>
      <w:drawing>
        <wp:anchor distT="0" distB="0" distL="114300" distR="114300" simplePos="0" relativeHeight="251658752" behindDoc="0" locked="0" layoutInCell="1" allowOverlap="1" wp14:anchorId="7529A3AA" wp14:editId="5978A126">
          <wp:simplePos x="0" y="0"/>
          <wp:positionH relativeFrom="margin">
            <wp:align>right</wp:align>
          </wp:positionH>
          <wp:positionV relativeFrom="paragraph">
            <wp:posOffset>337102</wp:posOffset>
          </wp:positionV>
          <wp:extent cx="1092200" cy="933450"/>
          <wp:effectExtent l="0" t="0" r="0" b="0"/>
          <wp:wrapNone/>
          <wp:docPr id="231" name="Imagen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180020" distB="180020" distL="180020" distR="180020" simplePos="0" relativeHeight="251656704" behindDoc="1" locked="0" layoutInCell="0" allowOverlap="1" wp14:anchorId="03CB1A55" wp14:editId="21BDD518">
          <wp:simplePos x="0" y="0"/>
          <wp:positionH relativeFrom="margin">
            <wp:align>left</wp:align>
          </wp:positionH>
          <wp:positionV relativeFrom="paragraph">
            <wp:posOffset>323850</wp:posOffset>
          </wp:positionV>
          <wp:extent cx="2133600" cy="933450"/>
          <wp:effectExtent l="0" t="0" r="0" b="0"/>
          <wp:wrapSquare wrapText="bothSides"/>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6803" t="25397" r="64978" b="22751"/>
                  <a:stretch/>
                </pic:blipFill>
                <pic:spPr bwMode="auto">
                  <a:xfrm>
                    <a:off x="0" y="0"/>
                    <a:ext cx="2133600"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7A17" w14:textId="77777777" w:rsidR="0078398A" w:rsidRDefault="0078398A">
    <w:pPr>
      <w:pStyle w:val="Encabezado"/>
    </w:pPr>
    <w:r w:rsidRPr="00C77A92">
      <w:rPr>
        <w:noProof/>
        <w:lang w:val="es-ES" w:eastAsia="es-ES"/>
      </w:rPr>
      <w:drawing>
        <wp:anchor distT="180020" distB="180020" distL="180020" distR="180020" simplePos="0" relativeHeight="251662848" behindDoc="1" locked="0" layoutInCell="0" allowOverlap="1" wp14:anchorId="70DF7C0E" wp14:editId="48A7133B">
          <wp:simplePos x="0" y="0"/>
          <wp:positionH relativeFrom="margin">
            <wp:posOffset>57150</wp:posOffset>
          </wp:positionH>
          <wp:positionV relativeFrom="paragraph">
            <wp:posOffset>294005</wp:posOffset>
          </wp:positionV>
          <wp:extent cx="2133600" cy="933450"/>
          <wp:effectExtent l="0" t="0" r="0" b="0"/>
          <wp:wrapSquare wrapText="bothSides"/>
          <wp:docPr id="233"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03" t="25397" r="64978" b="22751"/>
                  <a:stretch/>
                </pic:blipFill>
                <pic:spPr bwMode="auto">
                  <a:xfrm>
                    <a:off x="0" y="0"/>
                    <a:ext cx="2133600"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7A92">
      <w:rPr>
        <w:noProof/>
        <w:lang w:val="es-ES" w:eastAsia="es-ES"/>
      </w:rPr>
      <w:drawing>
        <wp:anchor distT="0" distB="0" distL="114300" distR="114300" simplePos="0" relativeHeight="251663872" behindDoc="0" locked="0" layoutInCell="1" allowOverlap="1" wp14:anchorId="3B8A8611" wp14:editId="4C4618F6">
          <wp:simplePos x="0" y="0"/>
          <wp:positionH relativeFrom="margin">
            <wp:align>right</wp:align>
          </wp:positionH>
          <wp:positionV relativeFrom="paragraph">
            <wp:posOffset>304800</wp:posOffset>
          </wp:positionV>
          <wp:extent cx="1092200" cy="933450"/>
          <wp:effectExtent l="0" t="0" r="0" b="0"/>
          <wp:wrapNone/>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75pt;height:75pt" o:bullet="t">
        <v:imagedata r:id="rId1" o:title="point"/>
      </v:shape>
    </w:pict>
  </w:numPicBullet>
  <w:abstractNum w:abstractNumId="0" w15:restartNumberingAfterBreak="0">
    <w:nsid w:val="03E235C0"/>
    <w:multiLevelType w:val="hybridMultilevel"/>
    <w:tmpl w:val="9A44C03E"/>
    <w:lvl w:ilvl="0" w:tplc="A6E2DF96">
      <w:start w:val="1"/>
      <w:numFmt w:val="decimal"/>
      <w:lvlText w:val="%1."/>
      <w:lvlJc w:val="left"/>
      <w:pPr>
        <w:ind w:left="1080" w:hanging="360"/>
      </w:pPr>
      <w:rPr>
        <w:rFonts w:hint="default"/>
        <w:color w:val="2A678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7C66E21"/>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 w15:restartNumberingAfterBreak="0">
    <w:nsid w:val="0B8F19C7"/>
    <w:multiLevelType w:val="multilevel"/>
    <w:tmpl w:val="93489702"/>
    <w:lvl w:ilvl="0">
      <w:start w:val="4"/>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3" w15:restartNumberingAfterBreak="0">
    <w:nsid w:val="0F091009"/>
    <w:multiLevelType w:val="hybridMultilevel"/>
    <w:tmpl w:val="B73C0FF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F8B7943"/>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5" w15:restartNumberingAfterBreak="0">
    <w:nsid w:val="138F0EC7"/>
    <w:multiLevelType w:val="hybridMultilevel"/>
    <w:tmpl w:val="72B2A3C2"/>
    <w:lvl w:ilvl="0" w:tplc="1CA076AA">
      <w:numFmt w:val="bullet"/>
      <w:lvlText w:val="-"/>
      <w:lvlJc w:val="left"/>
      <w:pPr>
        <w:ind w:left="720" w:hanging="360"/>
      </w:pPr>
      <w:rPr>
        <w:rFonts w:ascii="Calibri" w:eastAsiaTheme="minorHAnsi" w:hAnsi="Calibri" w:cs="Calibri" w:hint="default"/>
      </w:rPr>
    </w:lvl>
    <w:lvl w:ilvl="1" w:tplc="C9AC6092">
      <w:numFmt w:val="bullet"/>
      <w:lvlText w:val=""/>
      <w:lvlJc w:val="left"/>
      <w:pPr>
        <w:ind w:left="1440" w:hanging="360"/>
      </w:pPr>
      <w:rPr>
        <w:rFonts w:ascii="Wingdings" w:eastAsiaTheme="minorHAnsi" w:hAnsi="Wingding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B946B3"/>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7" w15:restartNumberingAfterBreak="0">
    <w:nsid w:val="1A543F36"/>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8" w15:restartNumberingAfterBreak="0">
    <w:nsid w:val="1FB34C7D"/>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9" w15:restartNumberingAfterBreak="0">
    <w:nsid w:val="31245FBA"/>
    <w:multiLevelType w:val="hybridMultilevel"/>
    <w:tmpl w:val="6ADE2128"/>
    <w:lvl w:ilvl="0" w:tplc="0C0A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DA3477"/>
    <w:multiLevelType w:val="hybridMultilevel"/>
    <w:tmpl w:val="F3D6E962"/>
    <w:lvl w:ilvl="0" w:tplc="279E3CAE">
      <w:start w:val="1"/>
      <w:numFmt w:val="bullet"/>
      <w:lvlText w:val=""/>
      <w:lvlJc w:val="left"/>
      <w:pPr>
        <w:ind w:left="720" w:hanging="360"/>
      </w:pPr>
      <w:rPr>
        <w:rFonts w:ascii="Wingdings" w:hAnsi="Wingdings" w:hint="default"/>
        <w:color w:val="2A678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AD62EF"/>
    <w:multiLevelType w:val="multilevel"/>
    <w:tmpl w:val="684475C8"/>
    <w:styleLink w:val="COSTNUM"/>
    <w:lvl w:ilvl="0">
      <w:start w:val="1"/>
      <w:numFmt w:val="decimal"/>
      <w:pStyle w:val="Numberedlist"/>
      <w:lvlText w:val="%1."/>
      <w:lvlJc w:val="left"/>
      <w:pPr>
        <w:tabs>
          <w:tab w:val="num" w:pos="1134"/>
        </w:tabs>
        <w:ind w:left="1134" w:hanging="283"/>
      </w:pPr>
      <w:rPr>
        <w:rFonts w:hint="default"/>
        <w:color w:val="ED7D31" w:themeColor="accent2"/>
      </w:rPr>
    </w:lvl>
    <w:lvl w:ilvl="1">
      <w:start w:val="1"/>
      <w:numFmt w:val="decimal"/>
      <w:lvlText w:val="%1.%2."/>
      <w:lvlJc w:val="left"/>
      <w:pPr>
        <w:tabs>
          <w:tab w:val="num" w:pos="1701"/>
        </w:tabs>
        <w:ind w:left="1701" w:hanging="283"/>
      </w:pPr>
      <w:rPr>
        <w:rFonts w:hint="default"/>
        <w:color w:val="ED7D31" w:themeColor="accent2"/>
      </w:rPr>
    </w:lvl>
    <w:lvl w:ilvl="2">
      <w:start w:val="1"/>
      <w:numFmt w:val="decimal"/>
      <w:lvlText w:val="%1.%2.%3."/>
      <w:lvlJc w:val="left"/>
      <w:pPr>
        <w:tabs>
          <w:tab w:val="num" w:pos="2268"/>
        </w:tabs>
        <w:ind w:left="2268" w:hanging="283"/>
      </w:pPr>
      <w:rPr>
        <w:rFonts w:hint="default"/>
        <w:color w:val="ED7D31" w:themeColor="accent2"/>
      </w:rPr>
    </w:lvl>
    <w:lvl w:ilvl="3">
      <w:start w:val="1"/>
      <w:numFmt w:val="decimal"/>
      <w:lvlText w:val="%1.%2.%3.%4."/>
      <w:lvlJc w:val="left"/>
      <w:pPr>
        <w:tabs>
          <w:tab w:val="num" w:pos="2835"/>
        </w:tabs>
        <w:ind w:left="2835" w:hanging="283"/>
      </w:pPr>
      <w:rPr>
        <w:rFonts w:hint="default"/>
        <w:color w:val="ED7D31" w:themeColor="accent2"/>
      </w:rPr>
    </w:lvl>
    <w:lvl w:ilvl="4">
      <w:start w:val="1"/>
      <w:numFmt w:val="decimal"/>
      <w:lvlText w:val="%1.%2.%3.%4.%5."/>
      <w:lvlJc w:val="left"/>
      <w:pPr>
        <w:tabs>
          <w:tab w:val="num" w:pos="3402"/>
        </w:tabs>
        <w:ind w:left="3402" w:hanging="283"/>
      </w:pPr>
      <w:rPr>
        <w:rFonts w:hint="default"/>
        <w:color w:val="ED7D31" w:themeColor="accent2"/>
      </w:rPr>
    </w:lvl>
    <w:lvl w:ilvl="5">
      <w:start w:val="1"/>
      <w:numFmt w:val="decimal"/>
      <w:lvlText w:val="%1.%2.%3.%4.%5.%6."/>
      <w:lvlJc w:val="left"/>
      <w:pPr>
        <w:tabs>
          <w:tab w:val="num" w:pos="3969"/>
        </w:tabs>
        <w:ind w:left="3969" w:hanging="283"/>
      </w:pPr>
      <w:rPr>
        <w:rFonts w:hint="default"/>
        <w:color w:val="ED7D31" w:themeColor="accent2"/>
      </w:rPr>
    </w:lvl>
    <w:lvl w:ilvl="6">
      <w:start w:val="1"/>
      <w:numFmt w:val="decimal"/>
      <w:lvlText w:val="%1.%2.%3.%4.%5.%6.%7."/>
      <w:lvlJc w:val="left"/>
      <w:pPr>
        <w:tabs>
          <w:tab w:val="num" w:pos="4536"/>
        </w:tabs>
        <w:ind w:left="4536" w:hanging="283"/>
      </w:pPr>
      <w:rPr>
        <w:rFonts w:hint="default"/>
        <w:color w:val="ED7D31" w:themeColor="accent2"/>
      </w:rPr>
    </w:lvl>
    <w:lvl w:ilvl="7">
      <w:start w:val="1"/>
      <w:numFmt w:val="decimal"/>
      <w:lvlText w:val="%1.%2.%3.%4.%5.%6.%7.%8."/>
      <w:lvlJc w:val="left"/>
      <w:pPr>
        <w:tabs>
          <w:tab w:val="num" w:pos="5103"/>
        </w:tabs>
        <w:ind w:left="5103" w:hanging="283"/>
      </w:pPr>
      <w:rPr>
        <w:rFonts w:hint="default"/>
        <w:color w:val="ED7D31" w:themeColor="accent2"/>
      </w:rPr>
    </w:lvl>
    <w:lvl w:ilvl="8">
      <w:start w:val="1"/>
      <w:numFmt w:val="decimal"/>
      <w:lvlText w:val="%1.%2.%3.%4.%5.%6.%7.%8.%9."/>
      <w:lvlJc w:val="left"/>
      <w:pPr>
        <w:tabs>
          <w:tab w:val="num" w:pos="5670"/>
        </w:tabs>
        <w:ind w:left="5670" w:hanging="283"/>
      </w:pPr>
      <w:rPr>
        <w:rFonts w:hint="default"/>
        <w:color w:val="ED7D31" w:themeColor="accent2"/>
      </w:rPr>
    </w:lvl>
  </w:abstractNum>
  <w:abstractNum w:abstractNumId="12" w15:restartNumberingAfterBreak="0">
    <w:nsid w:val="332F4752"/>
    <w:multiLevelType w:val="multilevel"/>
    <w:tmpl w:val="D5022BDE"/>
    <w:lvl w:ilvl="0">
      <w:start w:val="1"/>
      <w:numFmt w:val="bullet"/>
      <w:pStyle w:val="Bulletpoint"/>
      <w:lvlText w:val=""/>
      <w:lvlPicBulletId w:val="0"/>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13" w15:restartNumberingAfterBreak="0">
    <w:nsid w:val="44676DC7"/>
    <w:multiLevelType w:val="multilevel"/>
    <w:tmpl w:val="058A0230"/>
    <w:lvl w:ilvl="0">
      <w:start w:val="1"/>
      <w:numFmt w:val="bullet"/>
      <w:lvlText w:val=""/>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14" w15:restartNumberingAfterBreak="0">
    <w:nsid w:val="476369B9"/>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5" w15:restartNumberingAfterBreak="0">
    <w:nsid w:val="4C482349"/>
    <w:multiLevelType w:val="hybridMultilevel"/>
    <w:tmpl w:val="B65801C0"/>
    <w:lvl w:ilvl="0" w:tplc="723E20B6">
      <w:start w:val="1"/>
      <w:numFmt w:val="bullet"/>
      <w:lvlText w:val=""/>
      <w:lvlJc w:val="left"/>
      <w:pPr>
        <w:ind w:left="720" w:hanging="360"/>
      </w:pPr>
      <w:rPr>
        <w:rFonts w:ascii="Wingdings" w:hAnsi="Wingdings" w:hint="default"/>
        <w:color w:val="ED7D31" w:themeColor="accent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592474"/>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7" w15:restartNumberingAfterBreak="0">
    <w:nsid w:val="5BE245DC"/>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8" w15:restartNumberingAfterBreak="0">
    <w:nsid w:val="5CF0381C"/>
    <w:multiLevelType w:val="multilevel"/>
    <w:tmpl w:val="93489702"/>
    <w:lvl w:ilvl="0">
      <w:start w:val="4"/>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9" w15:restartNumberingAfterBreak="0">
    <w:nsid w:val="5E00692A"/>
    <w:multiLevelType w:val="hybridMultilevel"/>
    <w:tmpl w:val="5C50C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8695B"/>
    <w:multiLevelType w:val="multilevel"/>
    <w:tmpl w:val="684475C8"/>
    <w:numStyleLink w:val="COSTNUM"/>
  </w:abstractNum>
  <w:abstractNum w:abstractNumId="21" w15:restartNumberingAfterBreak="0">
    <w:nsid w:val="75FD37E3"/>
    <w:multiLevelType w:val="hybridMultilevel"/>
    <w:tmpl w:val="6BB8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70376BC"/>
    <w:multiLevelType w:val="hybridMultilevel"/>
    <w:tmpl w:val="A5E4C48E"/>
    <w:lvl w:ilvl="0" w:tplc="723E20B6">
      <w:start w:val="1"/>
      <w:numFmt w:val="bullet"/>
      <w:lvlText w:val=""/>
      <w:lvlJc w:val="left"/>
      <w:pPr>
        <w:ind w:left="720" w:hanging="360"/>
      </w:pPr>
      <w:rPr>
        <w:rFonts w:ascii="Wingdings" w:hAnsi="Wingdings"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863520A"/>
    <w:multiLevelType w:val="multilevel"/>
    <w:tmpl w:val="058A0230"/>
    <w:lvl w:ilvl="0">
      <w:start w:val="1"/>
      <w:numFmt w:val="bullet"/>
      <w:lvlText w:val=""/>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24" w15:restartNumberingAfterBreak="0">
    <w:nsid w:val="79771CBF"/>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5" w15:restartNumberingAfterBreak="0">
    <w:nsid w:val="7E90324B"/>
    <w:multiLevelType w:val="multilevel"/>
    <w:tmpl w:val="95C67218"/>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num w:numId="1" w16cid:durableId="594822919">
    <w:abstractNumId w:val="15"/>
  </w:num>
  <w:num w:numId="2" w16cid:durableId="376900940">
    <w:abstractNumId w:val="3"/>
  </w:num>
  <w:num w:numId="3" w16cid:durableId="1440756383">
    <w:abstractNumId w:val="11"/>
  </w:num>
  <w:num w:numId="4" w16cid:durableId="806823619">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5" w16cid:durableId="1443501273">
    <w:abstractNumId w:val="12"/>
  </w:num>
  <w:num w:numId="6" w16cid:durableId="1482697029">
    <w:abstractNumId w:val="20"/>
    <w:lvlOverride w:ilvl="0">
      <w:lvl w:ilvl="0">
        <w:start w:val="1"/>
        <w:numFmt w:val="decimal"/>
        <w:pStyle w:val="Numberedlist"/>
        <w:lvlText w:val="%1."/>
        <w:lvlJc w:val="left"/>
        <w:pPr>
          <w:tabs>
            <w:tab w:val="num" w:pos="1134"/>
          </w:tabs>
          <w:ind w:left="1134" w:hanging="283"/>
        </w:pPr>
        <w:rPr>
          <w:rFonts w:hint="default"/>
          <w:color w:val="2A678B"/>
        </w:rPr>
      </w:lvl>
    </w:lvlOverride>
  </w:num>
  <w:num w:numId="7" w16cid:durableId="1341614615">
    <w:abstractNumId w:val="20"/>
    <w:lvlOverride w:ilvl="0">
      <w:lvl w:ilvl="0">
        <w:start w:val="1"/>
        <w:numFmt w:val="decimal"/>
        <w:pStyle w:val="Numberedlist"/>
        <w:lvlText w:val="%1."/>
        <w:lvlJc w:val="left"/>
        <w:pPr>
          <w:tabs>
            <w:tab w:val="num" w:pos="1134"/>
          </w:tabs>
          <w:ind w:left="1134" w:hanging="283"/>
        </w:pPr>
        <w:rPr>
          <w:rFonts w:hint="default"/>
          <w:color w:val="2A678B"/>
        </w:rPr>
      </w:lvl>
    </w:lvlOverride>
  </w:num>
  <w:num w:numId="8" w16cid:durableId="1699234508">
    <w:abstractNumId w:val="20"/>
    <w:lvlOverride w:ilvl="0">
      <w:lvl w:ilvl="0">
        <w:start w:val="1"/>
        <w:numFmt w:val="decimal"/>
        <w:pStyle w:val="Numberedlist"/>
        <w:lvlText w:val="%1."/>
        <w:lvlJc w:val="left"/>
        <w:pPr>
          <w:tabs>
            <w:tab w:val="num" w:pos="1134"/>
          </w:tabs>
          <w:ind w:left="1134" w:hanging="283"/>
        </w:pPr>
        <w:rPr>
          <w:rFonts w:hint="default"/>
          <w:color w:val="2A678B"/>
        </w:rPr>
      </w:lvl>
    </w:lvlOverride>
  </w:num>
  <w:num w:numId="9" w16cid:durableId="1037004059">
    <w:abstractNumId w:val="20"/>
  </w:num>
  <w:num w:numId="10" w16cid:durableId="1509172102">
    <w:abstractNumId w:val="6"/>
  </w:num>
  <w:num w:numId="11" w16cid:durableId="2075664337">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2" w16cid:durableId="422649220">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3" w16cid:durableId="1715420839">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4" w16cid:durableId="2126149041">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5" w16cid:durableId="1248424643">
    <w:abstractNumId w:val="12"/>
  </w:num>
  <w:num w:numId="16" w16cid:durableId="2006393132">
    <w:abstractNumId w:val="23"/>
  </w:num>
  <w:num w:numId="17" w16cid:durableId="838690048">
    <w:abstractNumId w:val="13"/>
  </w:num>
  <w:num w:numId="18" w16cid:durableId="1505390195">
    <w:abstractNumId w:val="12"/>
  </w:num>
  <w:num w:numId="19" w16cid:durableId="124277377">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0" w16cid:durableId="421874215">
    <w:abstractNumId w:val="12"/>
  </w:num>
  <w:num w:numId="21" w16cid:durableId="2092651785">
    <w:abstractNumId w:val="22"/>
  </w:num>
  <w:num w:numId="22" w16cid:durableId="65109286">
    <w:abstractNumId w:val="10"/>
  </w:num>
  <w:num w:numId="23" w16cid:durableId="1643920706">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4" w16cid:durableId="2037535363">
    <w:abstractNumId w:val="0"/>
  </w:num>
  <w:num w:numId="25" w16cid:durableId="1121846630">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6" w16cid:durableId="306053954">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7" w16cid:durableId="169684672">
    <w:abstractNumId w:val="2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8" w16cid:durableId="918639247">
    <w:abstractNumId w:val="9"/>
  </w:num>
  <w:num w:numId="29" w16cid:durableId="1667247617">
    <w:abstractNumId w:val="19"/>
  </w:num>
  <w:num w:numId="30" w16cid:durableId="78256166">
    <w:abstractNumId w:val="21"/>
  </w:num>
  <w:num w:numId="31" w16cid:durableId="1243947806">
    <w:abstractNumId w:val="25"/>
  </w:num>
  <w:num w:numId="32" w16cid:durableId="595674367">
    <w:abstractNumId w:val="4"/>
  </w:num>
  <w:num w:numId="33" w16cid:durableId="1318918654">
    <w:abstractNumId w:val="14"/>
  </w:num>
  <w:num w:numId="34" w16cid:durableId="1670138888">
    <w:abstractNumId w:val="18"/>
  </w:num>
  <w:num w:numId="35" w16cid:durableId="561676176">
    <w:abstractNumId w:val="2"/>
  </w:num>
  <w:num w:numId="36" w16cid:durableId="186414263">
    <w:abstractNumId w:val="24"/>
  </w:num>
  <w:num w:numId="37" w16cid:durableId="1530145114">
    <w:abstractNumId w:val="5"/>
  </w:num>
  <w:num w:numId="38" w16cid:durableId="683747208">
    <w:abstractNumId w:val="7"/>
  </w:num>
  <w:num w:numId="39" w16cid:durableId="768620520">
    <w:abstractNumId w:val="8"/>
  </w:num>
  <w:num w:numId="40" w16cid:durableId="977800379">
    <w:abstractNumId w:val="17"/>
  </w:num>
  <w:num w:numId="41" w16cid:durableId="845629077">
    <w:abstractNumId w:val="16"/>
  </w:num>
  <w:num w:numId="42" w16cid:durableId="92930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86"/>
    <w:rsid w:val="00016B27"/>
    <w:rsid w:val="000269C3"/>
    <w:rsid w:val="000338D2"/>
    <w:rsid w:val="0003790E"/>
    <w:rsid w:val="000560BE"/>
    <w:rsid w:val="00060E5E"/>
    <w:rsid w:val="00070F91"/>
    <w:rsid w:val="00071396"/>
    <w:rsid w:val="00081B6D"/>
    <w:rsid w:val="00092EF6"/>
    <w:rsid w:val="00097C49"/>
    <w:rsid w:val="000A296C"/>
    <w:rsid w:val="000A3054"/>
    <w:rsid w:val="000C34DF"/>
    <w:rsid w:val="000D4496"/>
    <w:rsid w:val="000E7540"/>
    <w:rsid w:val="000F696A"/>
    <w:rsid w:val="00105750"/>
    <w:rsid w:val="001113A0"/>
    <w:rsid w:val="00113720"/>
    <w:rsid w:val="0011547F"/>
    <w:rsid w:val="00130228"/>
    <w:rsid w:val="00134C78"/>
    <w:rsid w:val="00137B5A"/>
    <w:rsid w:val="00145157"/>
    <w:rsid w:val="0014663B"/>
    <w:rsid w:val="00146DD8"/>
    <w:rsid w:val="00150EA4"/>
    <w:rsid w:val="00154C16"/>
    <w:rsid w:val="00156A89"/>
    <w:rsid w:val="00170240"/>
    <w:rsid w:val="0018105F"/>
    <w:rsid w:val="00184ABB"/>
    <w:rsid w:val="00186821"/>
    <w:rsid w:val="00187530"/>
    <w:rsid w:val="0019212D"/>
    <w:rsid w:val="001A215A"/>
    <w:rsid w:val="001B1937"/>
    <w:rsid w:val="001B699B"/>
    <w:rsid w:val="001C3CBC"/>
    <w:rsid w:val="001C5B5A"/>
    <w:rsid w:val="001C75AC"/>
    <w:rsid w:val="001D33F4"/>
    <w:rsid w:val="001E75C9"/>
    <w:rsid w:val="001E7715"/>
    <w:rsid w:val="00201C5B"/>
    <w:rsid w:val="00205B86"/>
    <w:rsid w:val="00205BFC"/>
    <w:rsid w:val="00207F4C"/>
    <w:rsid w:val="00211702"/>
    <w:rsid w:val="002120A4"/>
    <w:rsid w:val="00230D66"/>
    <w:rsid w:val="0025183B"/>
    <w:rsid w:val="00261EA6"/>
    <w:rsid w:val="00264CBE"/>
    <w:rsid w:val="00264DE9"/>
    <w:rsid w:val="00273AE1"/>
    <w:rsid w:val="002871F5"/>
    <w:rsid w:val="0029702D"/>
    <w:rsid w:val="002A0579"/>
    <w:rsid w:val="002A67F7"/>
    <w:rsid w:val="002A7BE0"/>
    <w:rsid w:val="002B7521"/>
    <w:rsid w:val="002B7B3C"/>
    <w:rsid w:val="002C04B2"/>
    <w:rsid w:val="002C04E0"/>
    <w:rsid w:val="002C06A7"/>
    <w:rsid w:val="002E7498"/>
    <w:rsid w:val="002E7EB5"/>
    <w:rsid w:val="002F3910"/>
    <w:rsid w:val="002F6D10"/>
    <w:rsid w:val="00300173"/>
    <w:rsid w:val="00353451"/>
    <w:rsid w:val="00365CDE"/>
    <w:rsid w:val="00367985"/>
    <w:rsid w:val="00377157"/>
    <w:rsid w:val="003846A5"/>
    <w:rsid w:val="00396A47"/>
    <w:rsid w:val="003A680E"/>
    <w:rsid w:val="003B2241"/>
    <w:rsid w:val="003B283F"/>
    <w:rsid w:val="003C415D"/>
    <w:rsid w:val="003D37C5"/>
    <w:rsid w:val="003D3FBC"/>
    <w:rsid w:val="003E06CA"/>
    <w:rsid w:val="003E0D54"/>
    <w:rsid w:val="003E5AA0"/>
    <w:rsid w:val="003E67E8"/>
    <w:rsid w:val="00417067"/>
    <w:rsid w:val="00422BF8"/>
    <w:rsid w:val="00423E26"/>
    <w:rsid w:val="0043296C"/>
    <w:rsid w:val="00440DF9"/>
    <w:rsid w:val="004466E9"/>
    <w:rsid w:val="00472EE1"/>
    <w:rsid w:val="004A4275"/>
    <w:rsid w:val="004A4F44"/>
    <w:rsid w:val="004B5C11"/>
    <w:rsid w:val="004B5C84"/>
    <w:rsid w:val="004B7555"/>
    <w:rsid w:val="004B79A3"/>
    <w:rsid w:val="004C7052"/>
    <w:rsid w:val="004D021B"/>
    <w:rsid w:val="004D3764"/>
    <w:rsid w:val="004E340F"/>
    <w:rsid w:val="004E68AA"/>
    <w:rsid w:val="00500B04"/>
    <w:rsid w:val="00513961"/>
    <w:rsid w:val="00517848"/>
    <w:rsid w:val="00525282"/>
    <w:rsid w:val="005264EF"/>
    <w:rsid w:val="00532CED"/>
    <w:rsid w:val="00591718"/>
    <w:rsid w:val="00591F0B"/>
    <w:rsid w:val="005967E7"/>
    <w:rsid w:val="005A3871"/>
    <w:rsid w:val="005B48B9"/>
    <w:rsid w:val="005C44B5"/>
    <w:rsid w:val="005F1906"/>
    <w:rsid w:val="005F40C1"/>
    <w:rsid w:val="005F7C3B"/>
    <w:rsid w:val="0060453A"/>
    <w:rsid w:val="006061A4"/>
    <w:rsid w:val="00612CD2"/>
    <w:rsid w:val="00613B6D"/>
    <w:rsid w:val="00625F65"/>
    <w:rsid w:val="00631E13"/>
    <w:rsid w:val="0064476B"/>
    <w:rsid w:val="006470F5"/>
    <w:rsid w:val="006520AA"/>
    <w:rsid w:val="00663A67"/>
    <w:rsid w:val="006652DD"/>
    <w:rsid w:val="0066629A"/>
    <w:rsid w:val="0067141D"/>
    <w:rsid w:val="006A2F63"/>
    <w:rsid w:val="006B0C08"/>
    <w:rsid w:val="006B1135"/>
    <w:rsid w:val="006C169C"/>
    <w:rsid w:val="006C42EF"/>
    <w:rsid w:val="006D2328"/>
    <w:rsid w:val="006E0078"/>
    <w:rsid w:val="006E10CA"/>
    <w:rsid w:val="006E2458"/>
    <w:rsid w:val="00706DBF"/>
    <w:rsid w:val="007075B4"/>
    <w:rsid w:val="007103E5"/>
    <w:rsid w:val="00711A26"/>
    <w:rsid w:val="00716490"/>
    <w:rsid w:val="00721343"/>
    <w:rsid w:val="00723631"/>
    <w:rsid w:val="007353D2"/>
    <w:rsid w:val="00753085"/>
    <w:rsid w:val="007551E5"/>
    <w:rsid w:val="0077152C"/>
    <w:rsid w:val="00777A91"/>
    <w:rsid w:val="0078398A"/>
    <w:rsid w:val="00784ADE"/>
    <w:rsid w:val="00791D1B"/>
    <w:rsid w:val="00792840"/>
    <w:rsid w:val="00794662"/>
    <w:rsid w:val="007A6D4F"/>
    <w:rsid w:val="007C3E0A"/>
    <w:rsid w:val="007D3936"/>
    <w:rsid w:val="007E6B66"/>
    <w:rsid w:val="00800360"/>
    <w:rsid w:val="008108AA"/>
    <w:rsid w:val="008412F2"/>
    <w:rsid w:val="00857890"/>
    <w:rsid w:val="008704B0"/>
    <w:rsid w:val="008A08FB"/>
    <w:rsid w:val="008A5E1A"/>
    <w:rsid w:val="008B2D07"/>
    <w:rsid w:val="008B4160"/>
    <w:rsid w:val="008B49D0"/>
    <w:rsid w:val="008B5C3D"/>
    <w:rsid w:val="008B5EBF"/>
    <w:rsid w:val="008C6D74"/>
    <w:rsid w:val="008D1153"/>
    <w:rsid w:val="008D4E35"/>
    <w:rsid w:val="008F11C1"/>
    <w:rsid w:val="009033CD"/>
    <w:rsid w:val="00904946"/>
    <w:rsid w:val="009051FC"/>
    <w:rsid w:val="00915C5C"/>
    <w:rsid w:val="00934C9F"/>
    <w:rsid w:val="00935146"/>
    <w:rsid w:val="009463CB"/>
    <w:rsid w:val="009511FF"/>
    <w:rsid w:val="009524BC"/>
    <w:rsid w:val="00963817"/>
    <w:rsid w:val="00964253"/>
    <w:rsid w:val="00964F81"/>
    <w:rsid w:val="00980A45"/>
    <w:rsid w:val="00980B20"/>
    <w:rsid w:val="00993F8E"/>
    <w:rsid w:val="009A002E"/>
    <w:rsid w:val="009A178F"/>
    <w:rsid w:val="009A3947"/>
    <w:rsid w:val="009A6B8E"/>
    <w:rsid w:val="009C10DD"/>
    <w:rsid w:val="009D5BA5"/>
    <w:rsid w:val="009F138B"/>
    <w:rsid w:val="009F6BB9"/>
    <w:rsid w:val="009F707C"/>
    <w:rsid w:val="00A11694"/>
    <w:rsid w:val="00A15257"/>
    <w:rsid w:val="00A17644"/>
    <w:rsid w:val="00A22410"/>
    <w:rsid w:val="00A3185F"/>
    <w:rsid w:val="00A42197"/>
    <w:rsid w:val="00A511CF"/>
    <w:rsid w:val="00A72936"/>
    <w:rsid w:val="00AA0632"/>
    <w:rsid w:val="00AB5163"/>
    <w:rsid w:val="00AB7974"/>
    <w:rsid w:val="00AD0E09"/>
    <w:rsid w:val="00AD232F"/>
    <w:rsid w:val="00AD249A"/>
    <w:rsid w:val="00AD2B70"/>
    <w:rsid w:val="00AD47BF"/>
    <w:rsid w:val="00AD493A"/>
    <w:rsid w:val="00AD70C6"/>
    <w:rsid w:val="00AE3ADF"/>
    <w:rsid w:val="00AE3CC0"/>
    <w:rsid w:val="00AF4446"/>
    <w:rsid w:val="00B26430"/>
    <w:rsid w:val="00B37F9C"/>
    <w:rsid w:val="00B4524F"/>
    <w:rsid w:val="00B62BDE"/>
    <w:rsid w:val="00B82A34"/>
    <w:rsid w:val="00B9300A"/>
    <w:rsid w:val="00B9371A"/>
    <w:rsid w:val="00B951CD"/>
    <w:rsid w:val="00B96028"/>
    <w:rsid w:val="00BA5078"/>
    <w:rsid w:val="00BB052A"/>
    <w:rsid w:val="00BB07B8"/>
    <w:rsid w:val="00BC025A"/>
    <w:rsid w:val="00BC6865"/>
    <w:rsid w:val="00BD0B4F"/>
    <w:rsid w:val="00BF3E18"/>
    <w:rsid w:val="00C42FE3"/>
    <w:rsid w:val="00C472AA"/>
    <w:rsid w:val="00C51177"/>
    <w:rsid w:val="00C52458"/>
    <w:rsid w:val="00C57962"/>
    <w:rsid w:val="00C6129C"/>
    <w:rsid w:val="00C70A49"/>
    <w:rsid w:val="00C77A92"/>
    <w:rsid w:val="00C81621"/>
    <w:rsid w:val="00C82CB0"/>
    <w:rsid w:val="00C85C5E"/>
    <w:rsid w:val="00CA779B"/>
    <w:rsid w:val="00CB486A"/>
    <w:rsid w:val="00CC1889"/>
    <w:rsid w:val="00CC1CE1"/>
    <w:rsid w:val="00CC3913"/>
    <w:rsid w:val="00CC57BC"/>
    <w:rsid w:val="00CD754F"/>
    <w:rsid w:val="00CE0D4C"/>
    <w:rsid w:val="00CF10AA"/>
    <w:rsid w:val="00CF195E"/>
    <w:rsid w:val="00CF2F69"/>
    <w:rsid w:val="00CF6C48"/>
    <w:rsid w:val="00D003F6"/>
    <w:rsid w:val="00D00EA1"/>
    <w:rsid w:val="00D01E22"/>
    <w:rsid w:val="00D16D3E"/>
    <w:rsid w:val="00D24EED"/>
    <w:rsid w:val="00D252F1"/>
    <w:rsid w:val="00D254FF"/>
    <w:rsid w:val="00D331A5"/>
    <w:rsid w:val="00D37D8F"/>
    <w:rsid w:val="00D82AA4"/>
    <w:rsid w:val="00D82EA9"/>
    <w:rsid w:val="00D8543B"/>
    <w:rsid w:val="00D86C6E"/>
    <w:rsid w:val="00D91A80"/>
    <w:rsid w:val="00D94479"/>
    <w:rsid w:val="00DA68E4"/>
    <w:rsid w:val="00DB35E2"/>
    <w:rsid w:val="00DC4FF1"/>
    <w:rsid w:val="00DD685E"/>
    <w:rsid w:val="00DF47F8"/>
    <w:rsid w:val="00E10DCE"/>
    <w:rsid w:val="00E11542"/>
    <w:rsid w:val="00E12F6A"/>
    <w:rsid w:val="00E15371"/>
    <w:rsid w:val="00E21E1C"/>
    <w:rsid w:val="00E303A5"/>
    <w:rsid w:val="00E3089D"/>
    <w:rsid w:val="00E4221D"/>
    <w:rsid w:val="00E464A6"/>
    <w:rsid w:val="00E52EFB"/>
    <w:rsid w:val="00E54694"/>
    <w:rsid w:val="00E5575E"/>
    <w:rsid w:val="00E6434D"/>
    <w:rsid w:val="00E73832"/>
    <w:rsid w:val="00E83A98"/>
    <w:rsid w:val="00EA32FB"/>
    <w:rsid w:val="00EA7864"/>
    <w:rsid w:val="00EC5935"/>
    <w:rsid w:val="00EC5B40"/>
    <w:rsid w:val="00ED37F1"/>
    <w:rsid w:val="00ED7E74"/>
    <w:rsid w:val="00EF5AE6"/>
    <w:rsid w:val="00F20F4B"/>
    <w:rsid w:val="00F27437"/>
    <w:rsid w:val="00F4010E"/>
    <w:rsid w:val="00F43B41"/>
    <w:rsid w:val="00F5234F"/>
    <w:rsid w:val="00F53BA7"/>
    <w:rsid w:val="00F56F80"/>
    <w:rsid w:val="00F71AAB"/>
    <w:rsid w:val="00F72A29"/>
    <w:rsid w:val="00F84911"/>
    <w:rsid w:val="00F85087"/>
    <w:rsid w:val="00F91194"/>
    <w:rsid w:val="00FA1172"/>
    <w:rsid w:val="00FA3A50"/>
    <w:rsid w:val="00FA78CB"/>
    <w:rsid w:val="00FB5060"/>
    <w:rsid w:val="00FE0966"/>
    <w:rsid w:val="00FE21D1"/>
    <w:rsid w:val="00FE2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679F59ED"/>
  <w14:defaultImageDpi w14:val="0"/>
  <w15:docId w15:val="{00186030-FD77-4225-8754-C11EC00B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sv-SE"/>
    </w:rPr>
  </w:style>
  <w:style w:type="paragraph" w:styleId="Ttulo1">
    <w:name w:val="heading 1"/>
    <w:basedOn w:val="Normal"/>
    <w:next w:val="Normal"/>
    <w:link w:val="Ttulo1Car"/>
    <w:uiPriority w:val="9"/>
    <w:qFormat/>
    <w:rsid w:val="00CE0D4C"/>
    <w:pPr>
      <w:keepNext/>
      <w:keepLines/>
      <w:spacing w:before="240" w:after="240" w:line="260" w:lineRule="atLeast"/>
      <w:jc w:val="both"/>
      <w:outlineLvl w:val="0"/>
    </w:pPr>
    <w:rPr>
      <w:rFonts w:ascii="Arial" w:eastAsiaTheme="majorEastAsia" w:hAnsi="Arial" w:cstheme="majorBidi"/>
      <w:b/>
      <w:color w:val="2A678B"/>
      <w:sz w:val="40"/>
      <w:szCs w:val="32"/>
      <w:lang w:val="en-GB" w:eastAsia="en-US"/>
    </w:rPr>
  </w:style>
  <w:style w:type="paragraph" w:styleId="Ttulo2">
    <w:name w:val="heading 2"/>
    <w:next w:val="Ttulo"/>
    <w:link w:val="Ttulo2Car"/>
    <w:uiPriority w:val="9"/>
    <w:unhideWhenUsed/>
    <w:qFormat/>
    <w:rsid w:val="00CE0D4C"/>
    <w:pPr>
      <w:keepNext/>
      <w:keepLines/>
      <w:spacing w:before="320" w:line="240" w:lineRule="auto"/>
      <w:outlineLvl w:val="1"/>
    </w:pPr>
    <w:rPr>
      <w:rFonts w:ascii="Arial" w:eastAsiaTheme="majorEastAsia" w:hAnsi="Arial" w:cstheme="majorBidi"/>
      <w:b/>
      <w:caps/>
      <w:color w:val="2A678B"/>
      <w:sz w:val="26"/>
      <w:szCs w:val="26"/>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0DD"/>
    <w:pPr>
      <w:tabs>
        <w:tab w:val="center" w:pos="4252"/>
        <w:tab w:val="right" w:pos="8504"/>
      </w:tabs>
    </w:pPr>
  </w:style>
  <w:style w:type="character" w:customStyle="1" w:styleId="EncabezadoCar">
    <w:name w:val="Encabezado Car"/>
    <w:basedOn w:val="Fuentedeprrafopredeter"/>
    <w:link w:val="Encabezado"/>
    <w:uiPriority w:val="99"/>
    <w:locked/>
    <w:rsid w:val="009C10DD"/>
    <w:rPr>
      <w:rFonts w:cs="Times New Roman"/>
      <w:lang w:val="sv-SE" w:eastAsia="sv-SE"/>
    </w:rPr>
  </w:style>
  <w:style w:type="paragraph" w:styleId="Piedepgina">
    <w:name w:val="footer"/>
    <w:basedOn w:val="Normal"/>
    <w:link w:val="PiedepginaCar"/>
    <w:uiPriority w:val="99"/>
    <w:unhideWhenUsed/>
    <w:rsid w:val="009C10DD"/>
    <w:pPr>
      <w:tabs>
        <w:tab w:val="center" w:pos="4252"/>
        <w:tab w:val="right" w:pos="8504"/>
      </w:tabs>
    </w:pPr>
  </w:style>
  <w:style w:type="character" w:customStyle="1" w:styleId="PiedepginaCar">
    <w:name w:val="Pie de página Car"/>
    <w:basedOn w:val="Fuentedeprrafopredeter"/>
    <w:link w:val="Piedepgina"/>
    <w:uiPriority w:val="99"/>
    <w:locked/>
    <w:rsid w:val="009C10DD"/>
    <w:rPr>
      <w:rFonts w:cs="Times New Roman"/>
      <w:lang w:val="sv-SE" w:eastAsia="sv-SE"/>
    </w:rPr>
  </w:style>
  <w:style w:type="character" w:customStyle="1" w:styleId="Ttulo1Car">
    <w:name w:val="Título 1 Car"/>
    <w:basedOn w:val="Fuentedeprrafopredeter"/>
    <w:link w:val="Ttulo1"/>
    <w:uiPriority w:val="9"/>
    <w:rsid w:val="00CE0D4C"/>
    <w:rPr>
      <w:rFonts w:ascii="Arial" w:eastAsiaTheme="majorEastAsia" w:hAnsi="Arial" w:cstheme="majorBidi"/>
      <w:b/>
      <w:color w:val="2A678B"/>
      <w:sz w:val="40"/>
      <w:szCs w:val="32"/>
      <w:lang w:val="en-GB" w:eastAsia="en-US"/>
    </w:rPr>
  </w:style>
  <w:style w:type="character" w:customStyle="1" w:styleId="Ttulo2Car">
    <w:name w:val="Título 2 Car"/>
    <w:basedOn w:val="Fuentedeprrafopredeter"/>
    <w:link w:val="Ttulo2"/>
    <w:uiPriority w:val="9"/>
    <w:rsid w:val="00CE0D4C"/>
    <w:rPr>
      <w:rFonts w:ascii="Arial" w:eastAsiaTheme="majorEastAsia" w:hAnsi="Arial" w:cstheme="majorBidi"/>
      <w:b/>
      <w:caps/>
      <w:color w:val="2A678B"/>
      <w:sz w:val="26"/>
      <w:szCs w:val="26"/>
      <w:lang w:val="en-GB" w:eastAsia="en-US"/>
    </w:rPr>
  </w:style>
  <w:style w:type="character" w:styleId="Hipervnculo">
    <w:name w:val="Hyperlink"/>
    <w:basedOn w:val="Fuentedeprrafopredeter"/>
    <w:uiPriority w:val="99"/>
    <w:unhideWhenUsed/>
    <w:qFormat/>
    <w:rsid w:val="00CE0D4C"/>
    <w:rPr>
      <w:color w:val="ED7D31" w:themeColor="accent2"/>
      <w:u w:val="single"/>
    </w:rPr>
  </w:style>
  <w:style w:type="paragraph" w:customStyle="1" w:styleId="Bulletpoint">
    <w:name w:val="Bullet point"/>
    <w:basedOn w:val="Prrafodelista"/>
    <w:qFormat/>
    <w:rsid w:val="00CE0D4C"/>
    <w:pPr>
      <w:numPr>
        <w:numId w:val="5"/>
      </w:numPr>
      <w:spacing w:after="120" w:line="260" w:lineRule="atLeast"/>
      <w:jc w:val="both"/>
    </w:pPr>
    <w:rPr>
      <w:rFonts w:ascii="Arial" w:eastAsiaTheme="minorHAnsi" w:hAnsi="Arial" w:cstheme="minorBidi"/>
      <w:color w:val="44546A" w:themeColor="text2"/>
      <w:sz w:val="20"/>
      <w:szCs w:val="24"/>
      <w:lang w:val="en-GB" w:eastAsia="en-US"/>
    </w:rPr>
  </w:style>
  <w:style w:type="paragraph" w:customStyle="1" w:styleId="Numberedlist">
    <w:name w:val="Numbered list"/>
    <w:basedOn w:val="Prrafodelista"/>
    <w:qFormat/>
    <w:rsid w:val="00CE0D4C"/>
    <w:pPr>
      <w:numPr>
        <w:numId w:val="4"/>
      </w:numPr>
      <w:spacing w:after="120" w:line="260" w:lineRule="atLeast"/>
      <w:jc w:val="both"/>
    </w:pPr>
    <w:rPr>
      <w:rFonts w:ascii="Arial" w:eastAsiaTheme="minorHAnsi" w:hAnsi="Arial" w:cstheme="minorBidi"/>
      <w:color w:val="44546A" w:themeColor="text2"/>
      <w:sz w:val="20"/>
      <w:szCs w:val="24"/>
      <w:lang w:val="en-GB" w:eastAsia="en-US"/>
    </w:rPr>
  </w:style>
  <w:style w:type="table" w:styleId="Tablaconcuadrcula">
    <w:name w:val="Table Grid"/>
    <w:basedOn w:val="Tablanormal"/>
    <w:uiPriority w:val="39"/>
    <w:rsid w:val="00CE0D4C"/>
    <w:pPr>
      <w:spacing w:after="0" w:line="240" w:lineRule="auto"/>
    </w:pPr>
    <w:rPr>
      <w:rFonts w:eastAsiaTheme="minorHAnsi" w:cstheme="minorBid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STNUM">
    <w:name w:val="COST NUM"/>
    <w:uiPriority w:val="99"/>
    <w:rsid w:val="00CE0D4C"/>
    <w:pPr>
      <w:numPr>
        <w:numId w:val="3"/>
      </w:numPr>
    </w:pPr>
  </w:style>
  <w:style w:type="paragraph" w:styleId="Ttulo">
    <w:name w:val="Title"/>
    <w:basedOn w:val="Normal"/>
    <w:next w:val="Normal"/>
    <w:link w:val="TtuloCar"/>
    <w:uiPriority w:val="10"/>
    <w:qFormat/>
    <w:rsid w:val="00CE0D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0D4C"/>
    <w:rPr>
      <w:rFonts w:asciiTheme="majorHAnsi" w:eastAsiaTheme="majorEastAsia" w:hAnsiTheme="majorHAnsi" w:cstheme="majorBidi"/>
      <w:spacing w:val="-10"/>
      <w:kern w:val="28"/>
      <w:sz w:val="56"/>
      <w:szCs w:val="56"/>
      <w:lang w:val="sv-SE" w:eastAsia="sv-SE"/>
    </w:rPr>
  </w:style>
  <w:style w:type="paragraph" w:styleId="Prrafodelista">
    <w:name w:val="List Paragraph"/>
    <w:basedOn w:val="Normal"/>
    <w:uiPriority w:val="34"/>
    <w:qFormat/>
    <w:rsid w:val="00CE0D4C"/>
    <w:pPr>
      <w:ind w:left="720"/>
      <w:contextualSpacing/>
    </w:pPr>
  </w:style>
  <w:style w:type="character" w:styleId="Refdecomentario">
    <w:name w:val="annotation reference"/>
    <w:basedOn w:val="Fuentedeprrafopredeter"/>
    <w:uiPriority w:val="99"/>
    <w:semiHidden/>
    <w:unhideWhenUsed/>
    <w:rsid w:val="00D82AA4"/>
    <w:rPr>
      <w:sz w:val="16"/>
      <w:szCs w:val="16"/>
    </w:rPr>
  </w:style>
  <w:style w:type="paragraph" w:styleId="Textocomentario">
    <w:name w:val="annotation text"/>
    <w:basedOn w:val="Normal"/>
    <w:link w:val="TextocomentarioCar"/>
    <w:uiPriority w:val="99"/>
    <w:semiHidden/>
    <w:unhideWhenUsed/>
    <w:rsid w:val="00D82A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2AA4"/>
    <w:rPr>
      <w:sz w:val="20"/>
      <w:szCs w:val="20"/>
      <w:lang w:val="sv-SE" w:eastAsia="sv-SE"/>
    </w:rPr>
  </w:style>
  <w:style w:type="paragraph" w:styleId="Asuntodelcomentario">
    <w:name w:val="annotation subject"/>
    <w:basedOn w:val="Textocomentario"/>
    <w:next w:val="Textocomentario"/>
    <w:link w:val="AsuntodelcomentarioCar"/>
    <w:uiPriority w:val="99"/>
    <w:semiHidden/>
    <w:unhideWhenUsed/>
    <w:rsid w:val="00D82AA4"/>
    <w:rPr>
      <w:b/>
      <w:bCs/>
    </w:rPr>
  </w:style>
  <w:style w:type="character" w:customStyle="1" w:styleId="AsuntodelcomentarioCar">
    <w:name w:val="Asunto del comentario Car"/>
    <w:basedOn w:val="TextocomentarioCar"/>
    <w:link w:val="Asuntodelcomentario"/>
    <w:uiPriority w:val="99"/>
    <w:semiHidden/>
    <w:rsid w:val="00D82AA4"/>
    <w:rPr>
      <w:b/>
      <w:bCs/>
      <w:sz w:val="20"/>
      <w:szCs w:val="20"/>
      <w:lang w:val="sv-SE" w:eastAsia="sv-SE"/>
    </w:rPr>
  </w:style>
  <w:style w:type="paragraph" w:styleId="Textodeglobo">
    <w:name w:val="Balloon Text"/>
    <w:basedOn w:val="Normal"/>
    <w:link w:val="TextodegloboCar"/>
    <w:uiPriority w:val="99"/>
    <w:semiHidden/>
    <w:unhideWhenUsed/>
    <w:rsid w:val="00D82A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AA4"/>
    <w:rPr>
      <w:rFonts w:ascii="Segoe UI" w:hAnsi="Segoe UI" w:cs="Segoe UI"/>
      <w:sz w:val="18"/>
      <w:szCs w:val="18"/>
      <w:lang w:val="sv-SE" w:eastAsia="sv-SE"/>
    </w:rPr>
  </w:style>
  <w:style w:type="paragraph" w:styleId="Descripcin">
    <w:name w:val="caption"/>
    <w:basedOn w:val="Normal"/>
    <w:next w:val="Normal"/>
    <w:uiPriority w:val="35"/>
    <w:unhideWhenUsed/>
    <w:qFormat/>
    <w:rsid w:val="00D01E2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0987-C35A-4F95-9639-F9B24D06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4</Pages>
  <Words>908</Words>
  <Characters>5082</Characters>
  <Application>Microsoft Office Word</Application>
  <DocSecurity>0</DocSecurity>
  <Lines>42</Lines>
  <Paragraphs>11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cost report</vt:lpstr>
      <vt:lpstr>Subject │ Minutes of the First Working Groups 1, 2, 3 and 4 Meetings of COST Act</vt:lpstr>
      <vt:lpstr>    LIST OF ANNEXES</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subject/>
  <dc:creator>www.cost.eu</dc:creator>
  <cp:keywords/>
  <dc:description/>
  <cp:lastModifiedBy>Manuel Eloy Ortiz Santaliestra</cp:lastModifiedBy>
  <cp:revision>264</cp:revision>
  <dcterms:created xsi:type="dcterms:W3CDTF">2020-01-17T08:48:00Z</dcterms:created>
  <dcterms:modified xsi:type="dcterms:W3CDTF">2023-10-21T11:55:00Z</dcterms:modified>
</cp:coreProperties>
</file>